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921EB1" w14:textId="1ACA7504" w:rsidR="00277678" w:rsidRDefault="00793126">
      <w:pPr>
        <w:tabs>
          <w:tab w:val="right" w:pos="5954"/>
        </w:tabs>
        <w:spacing w:after="240" w:line="240" w:lineRule="exact"/>
        <w:jc w:val="right"/>
        <w:rPr>
          <w:rFonts w:ascii="Calibri" w:hAnsi="Calibri"/>
          <w:b/>
          <w:bCs/>
          <w:color w:val="00558C"/>
          <w:sz w:val="24"/>
          <w:szCs w:val="24"/>
        </w:rPr>
      </w:pPr>
      <w:r>
        <w:rPr>
          <w:rFonts w:ascii="Calibri" w:hAnsi="Calibri"/>
          <w:b/>
          <w:bCs/>
          <w:color w:val="00558C"/>
          <w:sz w:val="24"/>
          <w:szCs w:val="24"/>
        </w:rPr>
        <w:t xml:space="preserve">Input paper:  </w:t>
      </w:r>
      <w:r w:rsidR="002D681E" w:rsidRPr="00607A19">
        <w:rPr>
          <w:rFonts w:ascii="Calibri" w:eastAsia="SimSun" w:hAnsi="Calibri" w:hint="eastAsia"/>
          <w:color w:val="00558C"/>
          <w:sz w:val="24"/>
          <w:szCs w:val="24"/>
          <w:lang w:val="en-US" w:eastAsia="zh-CN"/>
        </w:rPr>
        <w:t>DTEC</w:t>
      </w:r>
      <w:r w:rsidR="002D681E" w:rsidRPr="00607A19">
        <w:rPr>
          <w:rFonts w:ascii="Calibri" w:eastAsia="SimSun" w:hAnsi="Calibri"/>
          <w:color w:val="00558C"/>
          <w:sz w:val="24"/>
          <w:szCs w:val="24"/>
          <w:lang w:val="en-US" w:eastAsia="zh-CN"/>
        </w:rPr>
        <w:t>6</w:t>
      </w:r>
      <w:r w:rsidR="002D681E" w:rsidRPr="00607A19">
        <w:rPr>
          <w:rFonts w:ascii="Calibri" w:hAnsi="Calibri"/>
          <w:color w:val="00558C"/>
          <w:sz w:val="24"/>
          <w:szCs w:val="24"/>
        </w:rPr>
        <w:t>-</w:t>
      </w:r>
      <w:r w:rsidR="00607A19" w:rsidRPr="00607A19">
        <w:rPr>
          <w:rFonts w:ascii="Calibri" w:hAnsi="Calibri"/>
          <w:color w:val="00558C"/>
          <w:sz w:val="24"/>
          <w:szCs w:val="24"/>
        </w:rPr>
        <w:t>6.2.3.3</w:t>
      </w:r>
      <w:r w:rsidRPr="00607A19">
        <w:rPr>
          <w:rFonts w:ascii="Calibri" w:hAnsi="Calibri"/>
          <w:color w:val="00558C"/>
          <w:sz w:val="24"/>
          <w:szCs w:val="24"/>
        </w:rPr>
        <w:t xml:space="preserve"> </w:t>
      </w:r>
    </w:p>
    <w:p w14:paraId="10921EB2" w14:textId="77777777" w:rsidR="00277678" w:rsidRDefault="00277678">
      <w:pPr>
        <w:tabs>
          <w:tab w:val="left" w:pos="2835"/>
        </w:tabs>
        <w:spacing w:after="120"/>
        <w:jc w:val="both"/>
        <w:rPr>
          <w:rFonts w:ascii="Calibri" w:hAnsi="Calibri"/>
          <w:sz w:val="22"/>
        </w:rPr>
      </w:pPr>
    </w:p>
    <w:p w14:paraId="10921EB3" w14:textId="77777777" w:rsidR="00277678" w:rsidRDefault="00793126">
      <w:pPr>
        <w:tabs>
          <w:tab w:val="left" w:pos="2835"/>
        </w:tabs>
        <w:jc w:val="both"/>
        <w:rPr>
          <w:rFonts w:ascii="Calibri" w:hAnsi="Calibri"/>
          <w:b/>
          <w:bCs/>
          <w:color w:val="00558C"/>
          <w:sz w:val="24"/>
          <w:szCs w:val="24"/>
        </w:rPr>
      </w:pPr>
      <w:r>
        <w:rPr>
          <w:rFonts w:ascii="Calibri" w:hAnsi="Calibri"/>
          <w:b/>
          <w:bCs/>
          <w:color w:val="00558C"/>
          <w:sz w:val="24"/>
          <w:szCs w:val="24"/>
        </w:rPr>
        <w:t xml:space="preserve">Input paper for the following Committee(s): </w:t>
      </w:r>
      <w:r>
        <w:rPr>
          <w:rFonts w:ascii="Calibri" w:hAnsi="Calibri"/>
          <w:sz w:val="22"/>
        </w:rPr>
        <w:tab/>
      </w:r>
      <w:r>
        <w:rPr>
          <w:rFonts w:ascii="Calibri" w:hAnsi="Calibri"/>
          <w:sz w:val="22"/>
        </w:rPr>
        <w:tab/>
      </w:r>
      <w:r>
        <w:rPr>
          <w:rFonts w:ascii="Calibri" w:hAnsi="Calibri"/>
          <w:b/>
          <w:bCs/>
          <w:color w:val="00558C"/>
          <w:sz w:val="24"/>
          <w:szCs w:val="24"/>
        </w:rPr>
        <w:t>Purpose of paper:</w:t>
      </w:r>
    </w:p>
    <w:p w14:paraId="10921EB4" w14:textId="77777777" w:rsidR="00277678" w:rsidRDefault="00793126">
      <w:pPr>
        <w:tabs>
          <w:tab w:val="left" w:pos="2835"/>
        </w:tabs>
        <w:spacing w:after="120"/>
        <w:jc w:val="both"/>
        <w:rPr>
          <w:rFonts w:ascii="Calibri" w:hAnsi="Calibri"/>
          <w:sz w:val="22"/>
        </w:rPr>
      </w:pPr>
      <w:r>
        <w:rPr>
          <w:rFonts w:ascii="Calibri" w:hAnsi="Calibri"/>
          <w:szCs w:val="18"/>
        </w:rPr>
        <w:t>(Select as appropriate)</w:t>
      </w:r>
      <w:r>
        <w:rPr>
          <w:rFonts w:ascii="Calibri" w:hAnsi="Calibri"/>
          <w:szCs w:val="18"/>
        </w:rPr>
        <w:tab/>
      </w:r>
    </w:p>
    <w:p w14:paraId="10921EB5" w14:textId="77777777" w:rsidR="00277678" w:rsidRDefault="00502227">
      <w:pPr>
        <w:tabs>
          <w:tab w:val="left" w:pos="1843"/>
        </w:tabs>
        <w:spacing w:after="120"/>
        <w:jc w:val="both"/>
        <w:rPr>
          <w:rFonts w:ascii="Calibri" w:hAnsi="Calibri" w:cs="Arial"/>
          <w:b/>
          <w:sz w:val="22"/>
        </w:rPr>
      </w:pPr>
      <w:sdt>
        <w:sdtPr>
          <w:rPr>
            <w:rFonts w:ascii="Calibri" w:hAnsi="Calibri" w:cs="Arial"/>
            <w:b/>
            <w:sz w:val="24"/>
            <w:szCs w:val="24"/>
          </w:rPr>
          <w:id w:val="2070770475"/>
          <w14:checkbox>
            <w14:checked w14:val="0"/>
            <w14:checkedState w14:val="2612" w14:font="MS Gothic"/>
            <w14:uncheckedState w14:val="2610" w14:font="MS Gothic"/>
          </w14:checkbox>
        </w:sdtPr>
        <w:sdtEndPr/>
        <w:sdtContent>
          <w:r w:rsidR="00793126">
            <w:rPr>
              <w:rFonts w:ascii="Segoe UI Symbol" w:hAnsi="Segoe UI Symbol" w:cs="Segoe UI Symbol"/>
              <w:b/>
              <w:sz w:val="24"/>
              <w:szCs w:val="24"/>
            </w:rPr>
            <w:t>☐</w:t>
          </w:r>
        </w:sdtContent>
      </w:sdt>
      <w:r w:rsidR="00793126">
        <w:rPr>
          <w:rFonts w:ascii="Calibri" w:hAnsi="Calibri" w:cs="Arial"/>
          <w:sz w:val="24"/>
          <w:szCs w:val="24"/>
        </w:rPr>
        <w:t xml:space="preserve"> </w:t>
      </w:r>
      <w:r w:rsidR="00793126">
        <w:rPr>
          <w:rFonts w:ascii="Calibri" w:hAnsi="Calibri" w:cs="Arial"/>
          <w:sz w:val="22"/>
        </w:rPr>
        <w:t>ARM</w:t>
      </w:r>
      <w:r w:rsidR="00793126">
        <w:rPr>
          <w:rFonts w:ascii="Calibri" w:hAnsi="Calibri" w:cs="Arial"/>
          <w:sz w:val="22"/>
        </w:rPr>
        <w:tab/>
      </w:r>
      <w:sdt>
        <w:sdtPr>
          <w:rPr>
            <w:rFonts w:ascii="Calibri" w:hAnsi="Calibri" w:cs="Arial"/>
            <w:b/>
            <w:sz w:val="24"/>
            <w:szCs w:val="24"/>
          </w:rPr>
          <w:id w:val="-2049208282"/>
          <w14:checkbox>
            <w14:checked w14:val="0"/>
            <w14:checkedState w14:val="2612" w14:font="MS Gothic"/>
            <w14:uncheckedState w14:val="2610" w14:font="MS Gothic"/>
          </w14:checkbox>
        </w:sdtPr>
        <w:sdtEndPr/>
        <w:sdtContent>
          <w:r w:rsidR="00793126">
            <w:rPr>
              <w:rFonts w:ascii="Segoe UI Symbol" w:hAnsi="Segoe UI Symbol" w:cs="Segoe UI Symbol"/>
              <w:b/>
              <w:sz w:val="24"/>
              <w:szCs w:val="24"/>
            </w:rPr>
            <w:t>☐</w:t>
          </w:r>
        </w:sdtContent>
      </w:sdt>
      <w:r w:rsidR="00793126">
        <w:rPr>
          <w:rFonts w:ascii="Calibri" w:hAnsi="Calibri" w:cs="Arial"/>
          <w:sz w:val="24"/>
          <w:szCs w:val="24"/>
        </w:rPr>
        <w:t xml:space="preserve">  </w:t>
      </w:r>
      <w:r w:rsidR="00793126">
        <w:rPr>
          <w:rFonts w:ascii="Calibri" w:hAnsi="Calibri" w:cs="Arial"/>
          <w:sz w:val="22"/>
        </w:rPr>
        <w:t>ENG</w:t>
      </w:r>
      <w:r w:rsidR="00793126">
        <w:rPr>
          <w:rFonts w:ascii="Calibri" w:hAnsi="Calibri" w:cs="Arial"/>
          <w:sz w:val="22"/>
        </w:rPr>
        <w:tab/>
      </w:r>
      <w:r w:rsidR="00793126">
        <w:rPr>
          <w:rFonts w:ascii="Calibri" w:hAnsi="Calibri" w:cs="Arial"/>
          <w:sz w:val="22"/>
        </w:rPr>
        <w:tab/>
      </w:r>
      <w:sdt>
        <w:sdtPr>
          <w:rPr>
            <w:rFonts w:ascii="Calibri" w:hAnsi="Calibri" w:cs="Arial"/>
            <w:b/>
            <w:sz w:val="24"/>
            <w:szCs w:val="24"/>
          </w:rPr>
          <w:id w:val="1507479698"/>
          <w14:checkbox>
            <w14:checked w14:val="0"/>
            <w14:checkedState w14:val="2612" w14:font="MS Gothic"/>
            <w14:uncheckedState w14:val="2610" w14:font="MS Gothic"/>
          </w14:checkbox>
        </w:sdtPr>
        <w:sdtEndPr/>
        <w:sdtContent>
          <w:r w:rsidR="00793126">
            <w:rPr>
              <w:rFonts w:ascii="Segoe UI Symbol" w:hAnsi="Segoe UI Symbol" w:cs="Segoe UI Symbol"/>
              <w:b/>
              <w:sz w:val="24"/>
              <w:szCs w:val="24"/>
            </w:rPr>
            <w:t>☐</w:t>
          </w:r>
        </w:sdtContent>
      </w:sdt>
      <w:r w:rsidR="00793126">
        <w:rPr>
          <w:rFonts w:ascii="Calibri" w:hAnsi="Calibri" w:cs="Arial"/>
          <w:sz w:val="24"/>
          <w:szCs w:val="24"/>
        </w:rPr>
        <w:t xml:space="preserve"> </w:t>
      </w:r>
      <w:r w:rsidR="00793126">
        <w:rPr>
          <w:rFonts w:ascii="Calibri" w:hAnsi="Calibri" w:cs="Arial"/>
          <w:sz w:val="22"/>
        </w:rPr>
        <w:t>PAP</w:t>
      </w:r>
      <w:r w:rsidR="00793126">
        <w:rPr>
          <w:rFonts w:ascii="Calibri" w:hAnsi="Calibri" w:cs="Arial"/>
          <w:sz w:val="24"/>
          <w:szCs w:val="24"/>
        </w:rPr>
        <w:tab/>
      </w:r>
      <w:r w:rsidR="00793126">
        <w:rPr>
          <w:rFonts w:ascii="Calibri" w:hAnsi="Calibri" w:cs="Arial"/>
          <w:sz w:val="24"/>
          <w:szCs w:val="24"/>
        </w:rPr>
        <w:tab/>
      </w:r>
      <w:r w:rsidR="00793126">
        <w:rPr>
          <w:rFonts w:ascii="Calibri" w:hAnsi="Calibri" w:cs="Arial"/>
          <w:sz w:val="24"/>
          <w:szCs w:val="24"/>
        </w:rPr>
        <w:tab/>
      </w:r>
      <w:sdt>
        <w:sdtPr>
          <w:rPr>
            <w:rFonts w:ascii="Calibri" w:hAnsi="Calibri" w:cs="Arial"/>
            <w:b/>
            <w:sz w:val="24"/>
            <w:szCs w:val="24"/>
          </w:rPr>
          <w:id w:val="-1999726360"/>
          <w14:checkbox>
            <w14:checked w14:val="1"/>
            <w14:checkedState w14:val="2612" w14:font="MS Gothic"/>
            <w14:uncheckedState w14:val="2610" w14:font="MS Gothic"/>
          </w14:checkbox>
        </w:sdtPr>
        <w:sdtEndPr/>
        <w:sdtContent>
          <w:r w:rsidR="00793126">
            <w:rPr>
              <w:rFonts w:ascii="Segoe UI Symbol" w:hAnsi="Segoe UI Symbol" w:cs="Segoe UI Symbol"/>
              <w:b/>
              <w:sz w:val="24"/>
              <w:szCs w:val="24"/>
            </w:rPr>
            <w:t>☒</w:t>
          </w:r>
        </w:sdtContent>
      </w:sdt>
      <w:r w:rsidR="00793126">
        <w:rPr>
          <w:rFonts w:ascii="Calibri" w:hAnsi="Calibri" w:cs="Arial"/>
          <w:sz w:val="24"/>
          <w:szCs w:val="24"/>
        </w:rPr>
        <w:t xml:space="preserve"> </w:t>
      </w:r>
      <w:r w:rsidR="00793126">
        <w:rPr>
          <w:rFonts w:ascii="Calibri" w:hAnsi="Calibri" w:cs="Arial"/>
          <w:sz w:val="22"/>
        </w:rPr>
        <w:t>Input</w:t>
      </w:r>
    </w:p>
    <w:p w14:paraId="10921EB6" w14:textId="77777777" w:rsidR="00277678" w:rsidRDefault="00502227">
      <w:pPr>
        <w:tabs>
          <w:tab w:val="left" w:pos="1843"/>
        </w:tabs>
        <w:spacing w:after="120"/>
        <w:jc w:val="both"/>
        <w:rPr>
          <w:rFonts w:ascii="Calibri" w:hAnsi="Calibri"/>
          <w:sz w:val="22"/>
        </w:rPr>
      </w:pPr>
      <w:sdt>
        <w:sdtPr>
          <w:rPr>
            <w:rFonts w:ascii="Calibri" w:hAnsi="Calibri" w:cs="Arial"/>
            <w:b/>
            <w:sz w:val="22"/>
          </w:rPr>
          <w:id w:val="1393149920"/>
          <w14:checkbox>
            <w14:checked w14:val="1"/>
            <w14:checkedState w14:val="2612" w14:font="MS Gothic"/>
            <w14:uncheckedState w14:val="2610" w14:font="MS Gothic"/>
          </w14:checkbox>
        </w:sdtPr>
        <w:sdtEndPr/>
        <w:sdtContent>
          <w:r w:rsidR="00793126">
            <w:rPr>
              <w:rFonts w:ascii="Segoe UI Symbol" w:hAnsi="Segoe UI Symbol" w:cs="Segoe UI Symbol"/>
              <w:b/>
              <w:sz w:val="22"/>
            </w:rPr>
            <w:t>☒</w:t>
          </w:r>
        </w:sdtContent>
      </w:sdt>
      <w:r w:rsidR="00793126">
        <w:rPr>
          <w:rFonts w:ascii="Calibri" w:hAnsi="Calibri" w:cs="Arial"/>
          <w:sz w:val="22"/>
        </w:rPr>
        <w:t xml:space="preserve"> </w:t>
      </w:r>
      <w:r w:rsidR="00793126">
        <w:rPr>
          <w:rFonts w:ascii="Calibri" w:eastAsia="SimSun" w:hAnsi="Calibri" w:cs="Arial"/>
          <w:sz w:val="22"/>
          <w:lang w:val="en-US" w:eastAsia="zh-CN"/>
        </w:rPr>
        <w:t>DTEC</w:t>
      </w:r>
      <w:r w:rsidR="00793126">
        <w:rPr>
          <w:rFonts w:ascii="Calibri" w:hAnsi="Calibri" w:cs="Arial"/>
          <w:b/>
          <w:sz w:val="22"/>
        </w:rPr>
        <w:tab/>
      </w:r>
      <w:sdt>
        <w:sdtPr>
          <w:rPr>
            <w:rFonts w:ascii="Calibri" w:hAnsi="Calibri" w:cs="Arial"/>
            <w:b/>
            <w:sz w:val="22"/>
          </w:rPr>
          <w:id w:val="907732764"/>
          <w14:checkbox>
            <w14:checked w14:val="0"/>
            <w14:checkedState w14:val="2612" w14:font="MS Gothic"/>
            <w14:uncheckedState w14:val="2610" w14:font="MS Gothic"/>
          </w14:checkbox>
        </w:sdtPr>
        <w:sdtEndPr/>
        <w:sdtContent>
          <w:r w:rsidR="00793126">
            <w:rPr>
              <w:rFonts w:ascii="Segoe UI Symbol" w:hAnsi="Segoe UI Symbol" w:cs="Segoe UI Symbol"/>
              <w:b/>
              <w:sz w:val="22"/>
            </w:rPr>
            <w:t>☐</w:t>
          </w:r>
        </w:sdtContent>
      </w:sdt>
      <w:r w:rsidR="00793126">
        <w:rPr>
          <w:rFonts w:ascii="Calibri" w:hAnsi="Calibri" w:cs="Arial"/>
          <w:sz w:val="22"/>
        </w:rPr>
        <w:t xml:space="preserve"> VTS</w:t>
      </w:r>
      <w:r w:rsidR="00793126">
        <w:rPr>
          <w:rFonts w:ascii="Calibri" w:hAnsi="Calibri" w:cs="Arial"/>
          <w:sz w:val="22"/>
        </w:rPr>
        <w:tab/>
      </w:r>
      <w:r w:rsidR="00793126">
        <w:rPr>
          <w:rFonts w:ascii="Calibri" w:hAnsi="Calibri" w:cs="Arial"/>
          <w:sz w:val="22"/>
        </w:rPr>
        <w:tab/>
      </w:r>
      <w:r w:rsidR="00793126">
        <w:rPr>
          <w:rFonts w:ascii="Calibri" w:hAnsi="Calibri" w:cs="Arial"/>
          <w:sz w:val="22"/>
        </w:rPr>
        <w:tab/>
      </w:r>
      <w:r w:rsidR="00793126">
        <w:rPr>
          <w:rFonts w:ascii="Calibri" w:hAnsi="Calibri" w:cs="Arial"/>
          <w:sz w:val="22"/>
        </w:rPr>
        <w:tab/>
      </w:r>
      <w:r w:rsidR="00793126">
        <w:rPr>
          <w:rFonts w:ascii="Calibri" w:hAnsi="Calibri" w:cs="Arial"/>
          <w:sz w:val="22"/>
        </w:rPr>
        <w:tab/>
      </w:r>
      <w:sdt>
        <w:sdtPr>
          <w:rPr>
            <w:rFonts w:ascii="Calibri" w:hAnsi="Calibri" w:cs="Arial"/>
            <w:b/>
            <w:sz w:val="22"/>
          </w:rPr>
          <w:id w:val="2104062241"/>
          <w14:checkbox>
            <w14:checked w14:val="0"/>
            <w14:checkedState w14:val="2612" w14:font="MS Gothic"/>
            <w14:uncheckedState w14:val="2610" w14:font="MS Gothic"/>
          </w14:checkbox>
        </w:sdtPr>
        <w:sdtEndPr/>
        <w:sdtContent>
          <w:r w:rsidR="00793126">
            <w:rPr>
              <w:rFonts w:ascii="Segoe UI Symbol" w:hAnsi="Segoe UI Symbol" w:cs="Segoe UI Symbol"/>
              <w:b/>
              <w:sz w:val="22"/>
            </w:rPr>
            <w:t>☐</w:t>
          </w:r>
        </w:sdtContent>
      </w:sdt>
      <w:r w:rsidR="00793126">
        <w:rPr>
          <w:rFonts w:ascii="Calibri" w:hAnsi="Calibri" w:cs="Arial"/>
          <w:sz w:val="22"/>
        </w:rPr>
        <w:t xml:space="preserve"> Information</w:t>
      </w:r>
    </w:p>
    <w:p w14:paraId="10921EB7" w14:textId="77777777" w:rsidR="00277678" w:rsidRDefault="00277678">
      <w:pPr>
        <w:tabs>
          <w:tab w:val="left" w:pos="2835"/>
        </w:tabs>
        <w:spacing w:after="120"/>
        <w:jc w:val="both"/>
        <w:rPr>
          <w:rFonts w:ascii="Calibri" w:hAnsi="Calibri"/>
          <w:sz w:val="22"/>
        </w:rPr>
      </w:pPr>
    </w:p>
    <w:p w14:paraId="10921EB8" w14:textId="77777777" w:rsidR="00277678" w:rsidRDefault="00793126">
      <w:pPr>
        <w:tabs>
          <w:tab w:val="left" w:pos="2835"/>
        </w:tabs>
        <w:spacing w:after="120"/>
        <w:jc w:val="both"/>
        <w:rPr>
          <w:rFonts w:ascii="Calibri" w:hAnsi="Calibri"/>
          <w:sz w:val="22"/>
        </w:rPr>
      </w:pPr>
      <w:r>
        <w:rPr>
          <w:rFonts w:ascii="Calibri" w:hAnsi="Calibri"/>
          <w:b/>
          <w:bCs/>
          <w:color w:val="00558C"/>
          <w:sz w:val="24"/>
          <w:szCs w:val="24"/>
        </w:rPr>
        <w:t>Agenda item</w:t>
      </w:r>
      <w:r>
        <w:rPr>
          <w:rFonts w:ascii="Calibri" w:hAnsi="Calibri"/>
          <w:sz w:val="22"/>
        </w:rPr>
        <w:t xml:space="preserve"> </w:t>
      </w:r>
      <w:r>
        <w:rPr>
          <w:rFonts w:ascii="Calibri" w:hAnsi="Calibri"/>
          <w:sz w:val="22"/>
        </w:rPr>
        <w:tab/>
      </w:r>
      <w:r>
        <w:rPr>
          <w:rFonts w:ascii="Calibri" w:hAnsi="Calibri"/>
          <w:sz w:val="22"/>
        </w:rPr>
        <w:tab/>
      </w:r>
      <w:r>
        <w:rPr>
          <w:rFonts w:ascii="Calibri" w:hAnsi="Calibri"/>
          <w:sz w:val="22"/>
        </w:rPr>
        <w:tab/>
      </w:r>
      <w:proofErr w:type="spellStart"/>
      <w:r>
        <w:rPr>
          <w:rFonts w:ascii="Calibri" w:hAnsi="Calibri"/>
          <w:sz w:val="22"/>
        </w:rPr>
        <w:t>n.n</w:t>
      </w:r>
      <w:proofErr w:type="spellEnd"/>
    </w:p>
    <w:p w14:paraId="10921EB9" w14:textId="77777777" w:rsidR="00277678" w:rsidRDefault="00793126">
      <w:pPr>
        <w:tabs>
          <w:tab w:val="left" w:pos="2835"/>
        </w:tabs>
        <w:spacing w:after="120"/>
        <w:jc w:val="both"/>
        <w:rPr>
          <w:rFonts w:ascii="Calibri" w:hAnsi="Calibri"/>
          <w:sz w:val="22"/>
        </w:rPr>
      </w:pPr>
      <w:r>
        <w:rPr>
          <w:rFonts w:ascii="Calibri" w:hAnsi="Calibri"/>
          <w:b/>
          <w:bCs/>
          <w:color w:val="00558C"/>
          <w:sz w:val="24"/>
          <w:szCs w:val="24"/>
        </w:rPr>
        <w:t>Technical domain/ Task number</w:t>
      </w:r>
      <w:r>
        <w:rPr>
          <w:rFonts w:ascii="Calibri" w:hAnsi="Calibri"/>
          <w:sz w:val="22"/>
        </w:rPr>
        <w:t xml:space="preserve"> </w:t>
      </w:r>
      <w:r>
        <w:rPr>
          <w:rFonts w:ascii="Calibri" w:hAnsi="Calibri"/>
          <w:sz w:val="22"/>
        </w:rPr>
        <w:tab/>
        <w:t>…………………………………</w:t>
      </w:r>
    </w:p>
    <w:p w14:paraId="10921EBA" w14:textId="77777777" w:rsidR="00277678" w:rsidRDefault="00793126">
      <w:pPr>
        <w:tabs>
          <w:tab w:val="left" w:pos="2835"/>
        </w:tabs>
        <w:spacing w:after="120"/>
        <w:jc w:val="both"/>
        <w:rPr>
          <w:rFonts w:ascii="Calibri" w:hAnsi="Calibri"/>
          <w:color w:val="FF0000"/>
          <w:sz w:val="22"/>
        </w:rPr>
      </w:pPr>
      <w:r>
        <w:rPr>
          <w:rFonts w:ascii="Calibri" w:hAnsi="Calibri"/>
          <w:b/>
          <w:bCs/>
          <w:color w:val="00558C"/>
          <w:sz w:val="24"/>
          <w:szCs w:val="24"/>
        </w:rPr>
        <w:t>Author(s)/Submitter(s)</w:t>
      </w:r>
      <w:r>
        <w:rPr>
          <w:rFonts w:ascii="Calibri" w:hAnsi="Calibri"/>
          <w:sz w:val="22"/>
        </w:rPr>
        <w:tab/>
      </w:r>
      <w:r>
        <w:rPr>
          <w:rFonts w:ascii="Calibri" w:hAnsi="Calibri"/>
          <w:sz w:val="22"/>
        </w:rPr>
        <w:tab/>
      </w:r>
      <w:r>
        <w:rPr>
          <w:rFonts w:ascii="Calibri" w:hAnsi="Calibri"/>
          <w:sz w:val="22"/>
        </w:rPr>
        <w:tab/>
      </w:r>
      <w:r>
        <w:rPr>
          <w:rFonts w:ascii="Calibri" w:eastAsia="SimSun" w:hAnsi="Calibri"/>
          <w:sz w:val="22"/>
          <w:lang w:val="en-US" w:eastAsia="zh-CN"/>
        </w:rPr>
        <w:t>China MSA</w:t>
      </w:r>
    </w:p>
    <w:p w14:paraId="10921EBB" w14:textId="77777777" w:rsidR="00277678" w:rsidRDefault="00793126">
      <w:pPr>
        <w:tabs>
          <w:tab w:val="left" w:pos="7860"/>
        </w:tabs>
        <w:spacing w:after="120"/>
        <w:jc w:val="both"/>
        <w:rPr>
          <w:rFonts w:ascii="Calibri" w:hAnsi="Calibri"/>
          <w:sz w:val="22"/>
        </w:rPr>
      </w:pPr>
      <w:r>
        <w:rPr>
          <w:rFonts w:ascii="Calibri" w:hAnsi="Calibri"/>
          <w:sz w:val="22"/>
        </w:rPr>
        <w:tab/>
      </w:r>
    </w:p>
    <w:p w14:paraId="10921EBC" w14:textId="77777777" w:rsidR="00277678" w:rsidRDefault="00793126">
      <w:pPr>
        <w:spacing w:before="180" w:after="240" w:line="240" w:lineRule="auto"/>
        <w:jc w:val="center"/>
        <w:outlineLvl w:val="0"/>
        <w:rPr>
          <w:rFonts w:ascii="Arial Bold" w:eastAsia="Times New Roman" w:hAnsi="Arial Bold" w:cs="Arial"/>
          <w:b/>
          <w:bCs/>
          <w:caps/>
          <w:color w:val="00558C"/>
          <w:kern w:val="28"/>
          <w:sz w:val="28"/>
          <w:szCs w:val="32"/>
          <w:lang w:eastAsia="en-GB"/>
        </w:rPr>
      </w:pPr>
      <w:r>
        <w:rPr>
          <w:rFonts w:ascii="Arial Bold" w:eastAsia="Times New Roman" w:hAnsi="Arial Bold" w:cs="Arial"/>
          <w:b/>
          <w:bCs/>
          <w:caps/>
          <w:color w:val="00558C"/>
          <w:kern w:val="28"/>
          <w:sz w:val="28"/>
          <w:szCs w:val="32"/>
          <w:lang w:eastAsia="en-GB"/>
        </w:rPr>
        <w:t>Proposed Revision to Recommendation ITU-R M.2092</w:t>
      </w:r>
      <w:r>
        <w:rPr>
          <w:rFonts w:eastAsia="Times New Roman" w:cs="Arial"/>
          <w:b/>
          <w:bCs/>
          <w:caps/>
          <w:color w:val="00558C"/>
          <w:kern w:val="28"/>
          <w:sz w:val="20"/>
          <w:szCs w:val="32"/>
          <w:vertAlign w:val="superscript"/>
          <w:lang w:eastAsia="en-GB"/>
        </w:rPr>
        <w:footnoteReference w:id="1"/>
      </w:r>
    </w:p>
    <w:p w14:paraId="10921EBD" w14:textId="77777777" w:rsidR="00277678" w:rsidRDefault="00793126">
      <w:pPr>
        <w:pStyle w:val="Heading1"/>
        <w:numPr>
          <w:ilvl w:val="0"/>
          <w:numId w:val="26"/>
        </w:numPr>
      </w:pPr>
      <w:r>
        <w:t>Summary</w:t>
      </w:r>
    </w:p>
    <w:p w14:paraId="10921EBE" w14:textId="77777777" w:rsidR="00277678" w:rsidRDefault="00793126">
      <w:pPr>
        <w:spacing w:after="120"/>
        <w:jc w:val="both"/>
        <w:rPr>
          <w:rFonts w:ascii="Calibri" w:hAnsi="Calibri"/>
          <w:sz w:val="22"/>
          <w:lang w:eastAsia="zh-CN"/>
        </w:rPr>
      </w:pPr>
      <w:r>
        <w:rPr>
          <w:rFonts w:ascii="Calibri" w:hAnsi="Calibri"/>
          <w:sz w:val="22"/>
          <w:lang w:eastAsia="zh-CN"/>
        </w:rPr>
        <w:t>This document is based on the outcomes of the 5th meeting of the IALA DTEC Working Group. It further refines the proposed revisions to Recommendation ITU-R M.2092 regarding the issues deferred from the meeting. Specifically, it proposes using Message 7 to suppress the transmission of ASM-SAT messages within shore-based coverage areas and</w:t>
      </w:r>
      <w:r>
        <w:rPr>
          <w:rFonts w:ascii="Calibri" w:hAnsi="Calibri"/>
          <w:sz w:val="22"/>
          <w:lang w:val="en-US" w:eastAsia="zh-CN"/>
        </w:rPr>
        <w:t xml:space="preserve"> </w:t>
      </w:r>
      <w:r>
        <w:rPr>
          <w:rFonts w:ascii="Calibri" w:eastAsia="SimSun" w:hAnsi="Calibri" w:hint="eastAsia"/>
          <w:sz w:val="22"/>
          <w:lang w:val="en-US" w:eastAsia="zh-CN"/>
        </w:rPr>
        <w:t>p</w:t>
      </w:r>
      <w:r>
        <w:rPr>
          <w:rFonts w:ascii="Calibri" w:hAnsi="Calibri"/>
          <w:sz w:val="22"/>
          <w:lang w:val="en-US" w:eastAsia="zh-CN"/>
        </w:rPr>
        <w:t>rovide mechanism protection for the downlink burst transmission of VDE-SAT.</w:t>
      </w:r>
      <w:r>
        <w:rPr>
          <w:rFonts w:ascii="Calibri" w:hAnsi="Calibri"/>
          <w:sz w:val="22"/>
          <w:lang w:eastAsia="zh-CN"/>
        </w:rPr>
        <w:t xml:space="preserve"> The document recommends that IALA continues the refinement of this Recommendation.</w:t>
      </w:r>
    </w:p>
    <w:p w14:paraId="10921EBF" w14:textId="77777777" w:rsidR="00277678" w:rsidRDefault="00793126">
      <w:pPr>
        <w:keepNext/>
        <w:keepLines/>
        <w:numPr>
          <w:ilvl w:val="1"/>
          <w:numId w:val="1"/>
        </w:numPr>
        <w:spacing w:before="240" w:after="200" w:line="240" w:lineRule="atLeast"/>
        <w:ind w:right="709"/>
        <w:outlineLvl w:val="1"/>
        <w:rPr>
          <w:rFonts w:ascii="Calibri" w:eastAsiaTheme="majorEastAsia" w:hAnsi="Calibri" w:cstheme="majorBidi"/>
          <w:b/>
          <w:caps/>
          <w:color w:val="00558C"/>
          <w:sz w:val="24"/>
          <w:szCs w:val="24"/>
        </w:rPr>
      </w:pPr>
      <w:r>
        <w:rPr>
          <w:rFonts w:ascii="Calibri" w:eastAsiaTheme="majorEastAsia" w:hAnsi="Calibri" w:cstheme="majorBidi"/>
          <w:b/>
          <w:caps/>
          <w:color w:val="00558C"/>
          <w:sz w:val="24"/>
          <w:szCs w:val="24"/>
        </w:rPr>
        <w:t xml:space="preserve">Purpose of the document </w:t>
      </w:r>
    </w:p>
    <w:p w14:paraId="10921EC0" w14:textId="77777777" w:rsidR="00277678" w:rsidRDefault="00793126">
      <w:pPr>
        <w:spacing w:after="120"/>
        <w:jc w:val="both"/>
        <w:rPr>
          <w:rFonts w:ascii="Calibri" w:hAnsi="Calibri"/>
          <w:sz w:val="22"/>
          <w:lang w:eastAsia="zh-CN"/>
        </w:rPr>
      </w:pPr>
      <w:r>
        <w:rPr>
          <w:rFonts w:ascii="Calibri" w:hAnsi="Calibri"/>
          <w:sz w:val="22"/>
        </w:rPr>
        <w:t>The purpose of this document is to propose revisions and enhancements to Recommendation ITU-R M.2092-1, update its technical details, and provide a reference for the Committee.</w:t>
      </w:r>
    </w:p>
    <w:p w14:paraId="10921EC1" w14:textId="77777777" w:rsidR="00277678" w:rsidRDefault="00793126">
      <w:pPr>
        <w:keepNext/>
        <w:keepLines/>
        <w:numPr>
          <w:ilvl w:val="1"/>
          <w:numId w:val="1"/>
        </w:numPr>
        <w:spacing w:before="240" w:after="200" w:line="240" w:lineRule="atLeast"/>
        <w:ind w:right="709"/>
        <w:outlineLvl w:val="1"/>
        <w:rPr>
          <w:rFonts w:ascii="Calibri" w:eastAsiaTheme="majorEastAsia" w:hAnsi="Calibri" w:cstheme="majorBidi"/>
          <w:b/>
          <w:caps/>
          <w:color w:val="00558C"/>
          <w:sz w:val="24"/>
          <w:szCs w:val="24"/>
        </w:rPr>
      </w:pPr>
      <w:r>
        <w:rPr>
          <w:rFonts w:ascii="Calibri" w:eastAsiaTheme="majorEastAsia" w:hAnsi="Calibri" w:cstheme="majorBidi"/>
          <w:b/>
          <w:caps/>
          <w:color w:val="00558C"/>
          <w:sz w:val="24"/>
          <w:szCs w:val="24"/>
        </w:rPr>
        <w:t>Related documents</w:t>
      </w:r>
    </w:p>
    <w:p w14:paraId="10921EC2" w14:textId="77777777" w:rsidR="00277678" w:rsidRDefault="00793126">
      <w:pPr>
        <w:numPr>
          <w:ilvl w:val="0"/>
          <w:numId w:val="27"/>
        </w:numPr>
        <w:spacing w:after="120"/>
        <w:jc w:val="both"/>
        <w:rPr>
          <w:rFonts w:ascii="Calibri" w:hAnsi="Calibri"/>
          <w:sz w:val="22"/>
        </w:rPr>
      </w:pPr>
      <w:bookmarkStart w:id="0" w:name="_Hlk203958627"/>
      <w:r>
        <w:rPr>
          <w:rFonts w:ascii="Calibri" w:hAnsi="Calibri"/>
          <w:sz w:val="22"/>
        </w:rPr>
        <w:t>IALA Committee Work Program (202</w:t>
      </w:r>
      <w:r w:rsidR="00EE6E67">
        <w:rPr>
          <w:rFonts w:ascii="Calibri" w:hAnsi="Calibri"/>
          <w:sz w:val="22"/>
        </w:rPr>
        <w:t>5</w:t>
      </w:r>
      <w:r>
        <w:rPr>
          <w:rFonts w:ascii="Calibri" w:hAnsi="Calibri"/>
          <w:sz w:val="22"/>
        </w:rPr>
        <w:t>-2027)</w:t>
      </w:r>
    </w:p>
    <w:p w14:paraId="10921EC3" w14:textId="77777777" w:rsidR="00277678" w:rsidRDefault="00793126">
      <w:pPr>
        <w:numPr>
          <w:ilvl w:val="0"/>
          <w:numId w:val="27"/>
        </w:numPr>
        <w:spacing w:after="120"/>
        <w:jc w:val="both"/>
        <w:rPr>
          <w:rFonts w:ascii="Calibri" w:hAnsi="Calibri"/>
          <w:sz w:val="22"/>
          <w:lang w:eastAsia="zh-CN"/>
        </w:rPr>
      </w:pPr>
      <w:r>
        <w:rPr>
          <w:rFonts w:ascii="Calibri" w:hAnsi="Calibri"/>
          <w:sz w:val="22"/>
        </w:rPr>
        <w:t xml:space="preserve">ITU-R M.2092-1 Technical characteristics for a VHF data exchange system in the VHF </w:t>
      </w:r>
    </w:p>
    <w:bookmarkEnd w:id="0"/>
    <w:p w14:paraId="10921EC4" w14:textId="77777777" w:rsidR="00277678" w:rsidRDefault="00793126">
      <w:pPr>
        <w:keepNext/>
        <w:keepLines/>
        <w:numPr>
          <w:ilvl w:val="0"/>
          <w:numId w:val="1"/>
        </w:numPr>
        <w:spacing w:before="240" w:after="200" w:line="240" w:lineRule="atLeast"/>
        <w:outlineLvl w:val="0"/>
        <w:rPr>
          <w:rFonts w:ascii="Calibri" w:eastAsiaTheme="majorEastAsia" w:hAnsi="Calibri" w:cstheme="majorBidi"/>
          <w:b/>
          <w:bCs/>
          <w:caps/>
          <w:color w:val="00558C"/>
          <w:sz w:val="28"/>
          <w:szCs w:val="24"/>
        </w:rPr>
      </w:pPr>
      <w:r>
        <w:rPr>
          <w:rFonts w:ascii="Calibri" w:eastAsiaTheme="majorEastAsia" w:hAnsi="Calibri" w:cstheme="majorBidi"/>
          <w:b/>
          <w:bCs/>
          <w:caps/>
          <w:color w:val="00558C"/>
          <w:sz w:val="28"/>
          <w:szCs w:val="24"/>
        </w:rPr>
        <w:t>Background</w:t>
      </w:r>
    </w:p>
    <w:p w14:paraId="10921EC5" w14:textId="77777777" w:rsidR="00277678" w:rsidRDefault="00793126">
      <w:pPr>
        <w:spacing w:after="120"/>
        <w:jc w:val="both"/>
        <w:rPr>
          <w:rFonts w:ascii="Calibri" w:hAnsi="Calibri"/>
          <w:sz w:val="22"/>
          <w:lang w:val="en-US" w:eastAsia="zh-CN"/>
        </w:rPr>
      </w:pPr>
      <w:r>
        <w:rPr>
          <w:rFonts w:ascii="Calibri" w:hAnsi="Calibri"/>
          <w:sz w:val="22"/>
          <w:lang w:val="en-US" w:eastAsia="zh-CN"/>
        </w:rPr>
        <w:t>The 110th session of the IMO Maritime Safety Committee (MSC 110) has agreed in principle to incorporate VDES into the International Convention for the Safety of Life at Sea (SOLAS), and the implementation and deployment of VDES applications are poised for widespread promotion. The latest version of the VDES technical standard, ITU-R M.2092, is expected to be released in 2026. However, a full consensus has yet to be reached within IALA on certain technical issues in Recommendation ITU-R M.2092, and some contents require further discussion.</w:t>
      </w:r>
    </w:p>
    <w:p w14:paraId="10921EC6" w14:textId="77777777" w:rsidR="00277678" w:rsidRDefault="00793126">
      <w:pPr>
        <w:keepNext/>
        <w:keepLines/>
        <w:numPr>
          <w:ilvl w:val="0"/>
          <w:numId w:val="1"/>
        </w:numPr>
        <w:spacing w:before="240" w:after="200" w:line="240" w:lineRule="atLeast"/>
        <w:outlineLvl w:val="0"/>
        <w:rPr>
          <w:rFonts w:ascii="Calibri" w:eastAsiaTheme="majorEastAsia" w:hAnsi="Calibri" w:cstheme="majorBidi"/>
          <w:b/>
          <w:bCs/>
          <w:caps/>
          <w:color w:val="00558C"/>
          <w:sz w:val="28"/>
          <w:szCs w:val="24"/>
          <w:lang w:eastAsia="zh-CN"/>
        </w:rPr>
      </w:pPr>
      <w:r>
        <w:rPr>
          <w:rFonts w:ascii="Calibri" w:eastAsiaTheme="majorEastAsia" w:hAnsi="Calibri" w:cstheme="majorBidi"/>
          <w:b/>
          <w:bCs/>
          <w:caps/>
          <w:color w:val="00558C"/>
          <w:sz w:val="28"/>
          <w:szCs w:val="24"/>
        </w:rPr>
        <w:t>Discussion</w:t>
      </w:r>
    </w:p>
    <w:p w14:paraId="10921EC7" w14:textId="77777777" w:rsidR="00277678" w:rsidRDefault="00793126">
      <w:pPr>
        <w:spacing w:after="120"/>
        <w:jc w:val="both"/>
        <w:rPr>
          <w:rFonts w:ascii="Calibri" w:hAnsi="Calibri"/>
          <w:sz w:val="22"/>
          <w:lang w:eastAsia="zh-CN"/>
        </w:rPr>
      </w:pPr>
      <w:r>
        <w:rPr>
          <w:rFonts w:ascii="Calibri" w:hAnsi="Calibri"/>
          <w:sz w:val="22"/>
          <w:lang w:eastAsia="zh-CN"/>
        </w:rPr>
        <w:t>We propose:</w:t>
      </w:r>
    </w:p>
    <w:p w14:paraId="10921EC8" w14:textId="77777777" w:rsidR="00277678" w:rsidRDefault="00793126">
      <w:pPr>
        <w:suppressAutoHyphens/>
        <w:spacing w:after="120"/>
        <w:rPr>
          <w:rFonts w:eastAsia="SimSun"/>
          <w:color w:val="000000" w:themeColor="text1"/>
          <w:sz w:val="22"/>
          <w:lang w:val="en-US" w:eastAsia="zh-CN"/>
        </w:rPr>
      </w:pPr>
      <w:r>
        <w:rPr>
          <w:rFonts w:eastAsia="SimSun"/>
          <w:color w:val="000000" w:themeColor="text1"/>
          <w:sz w:val="22"/>
          <w:lang w:val="en-US" w:eastAsia="zh-CN"/>
        </w:rPr>
        <w:lastRenderedPageBreak/>
        <w:t>Add a new field in Message 7 to enable the suppression of ASM-SAT message transmissions within shore-based coverage areas and its corresponding description;</w:t>
      </w:r>
    </w:p>
    <w:p w14:paraId="10921EC9" w14:textId="77777777" w:rsidR="00277678" w:rsidRDefault="00793126">
      <w:pPr>
        <w:suppressAutoHyphens/>
        <w:spacing w:after="120"/>
        <w:rPr>
          <w:rFonts w:eastAsia="SimSun"/>
          <w:color w:val="000000" w:themeColor="text1"/>
          <w:sz w:val="22"/>
          <w:lang w:val="en-US" w:eastAsia="zh-CN"/>
        </w:rPr>
      </w:pPr>
      <w:r>
        <w:rPr>
          <w:rFonts w:eastAsia="SimSun"/>
          <w:color w:val="000000" w:themeColor="text1"/>
          <w:sz w:val="22"/>
          <w:lang w:val="en-US" w:eastAsia="zh-CN"/>
        </w:rPr>
        <w:t>To ensure the successful reception of VDE-SAT downlink long burst transmissions, the ship station may temporarily suppress own AIS transmissions for a maximum duration of 2.4 seconds, provided that no other ships are detected within a range of 1 nautical mile.</w:t>
      </w:r>
    </w:p>
    <w:p w14:paraId="10921ECA" w14:textId="77777777" w:rsidR="00277678" w:rsidRDefault="00793126">
      <w:pPr>
        <w:spacing w:after="120"/>
        <w:jc w:val="both"/>
        <w:rPr>
          <w:rFonts w:eastAsia="SimSun"/>
          <w:sz w:val="22"/>
          <w:lang w:eastAsia="zh-CN"/>
        </w:rPr>
      </w:pPr>
      <w:r>
        <w:rPr>
          <w:rFonts w:eastAsia="SimSun"/>
          <w:sz w:val="22"/>
          <w:lang w:eastAsia="zh-CN"/>
        </w:rPr>
        <w:t>The revision of ITU-R M.2092-1 in detail is shown in the annex.</w:t>
      </w:r>
    </w:p>
    <w:p w14:paraId="10921ECB" w14:textId="77777777" w:rsidR="00277678" w:rsidRDefault="00793126">
      <w:pPr>
        <w:keepNext/>
        <w:keepLines/>
        <w:numPr>
          <w:ilvl w:val="0"/>
          <w:numId w:val="1"/>
        </w:numPr>
        <w:spacing w:before="240" w:after="200" w:line="240" w:lineRule="atLeast"/>
        <w:outlineLvl w:val="0"/>
        <w:rPr>
          <w:rFonts w:ascii="Calibri" w:eastAsiaTheme="majorEastAsia" w:hAnsi="Calibri" w:cstheme="majorBidi"/>
          <w:b/>
          <w:bCs/>
          <w:caps/>
          <w:color w:val="00558C"/>
          <w:sz w:val="28"/>
          <w:szCs w:val="24"/>
        </w:rPr>
      </w:pPr>
      <w:r>
        <w:rPr>
          <w:rFonts w:ascii="Calibri" w:eastAsiaTheme="majorEastAsia" w:hAnsi="Calibri" w:cstheme="majorBidi"/>
          <w:b/>
          <w:bCs/>
          <w:caps/>
          <w:color w:val="00558C"/>
          <w:sz w:val="28"/>
          <w:szCs w:val="24"/>
        </w:rPr>
        <w:t>References</w:t>
      </w:r>
    </w:p>
    <w:p w14:paraId="10921ECC" w14:textId="77777777" w:rsidR="00277678" w:rsidRDefault="00793126">
      <w:pPr>
        <w:tabs>
          <w:tab w:val="left" w:pos="0"/>
        </w:tabs>
        <w:spacing w:before="120" w:after="60" w:line="240" w:lineRule="auto"/>
        <w:ind w:left="567" w:hanging="567"/>
        <w:jc w:val="both"/>
        <w:rPr>
          <w:rFonts w:eastAsia="Times New Roman" w:cs="Times New Roman"/>
          <w:sz w:val="22"/>
          <w:szCs w:val="20"/>
        </w:rPr>
      </w:pPr>
      <w:bookmarkStart w:id="1" w:name="_Hlk203959054"/>
      <w:r>
        <w:rPr>
          <w:rFonts w:eastAsia="Times New Roman" w:cs="Times New Roman"/>
          <w:sz w:val="22"/>
          <w:szCs w:val="20"/>
        </w:rPr>
        <w:t>ITU-R M.2092-1 Technical characteristics for a VHF data exchange system in the VHF</w:t>
      </w:r>
    </w:p>
    <w:bookmarkEnd w:id="1"/>
    <w:p w14:paraId="10921ECD" w14:textId="77777777" w:rsidR="00277678" w:rsidRDefault="00793126">
      <w:pPr>
        <w:keepNext/>
        <w:keepLines/>
        <w:numPr>
          <w:ilvl w:val="0"/>
          <w:numId w:val="1"/>
        </w:numPr>
        <w:spacing w:before="240" w:after="200" w:line="240" w:lineRule="atLeast"/>
        <w:outlineLvl w:val="0"/>
        <w:rPr>
          <w:rFonts w:ascii="Calibri" w:eastAsiaTheme="majorEastAsia" w:hAnsi="Calibri" w:cstheme="majorBidi"/>
          <w:b/>
          <w:bCs/>
          <w:caps/>
          <w:color w:val="00558C"/>
          <w:sz w:val="28"/>
          <w:szCs w:val="24"/>
        </w:rPr>
      </w:pPr>
      <w:r>
        <w:rPr>
          <w:rFonts w:ascii="Calibri" w:eastAsiaTheme="majorEastAsia" w:hAnsi="Calibri" w:cstheme="majorBidi"/>
          <w:b/>
          <w:bCs/>
          <w:caps/>
          <w:color w:val="00558C"/>
          <w:sz w:val="28"/>
          <w:szCs w:val="24"/>
        </w:rPr>
        <w:t>Action requested of the Committee</w:t>
      </w:r>
    </w:p>
    <w:p w14:paraId="10921ECE" w14:textId="77777777" w:rsidR="00277678" w:rsidRDefault="00793126">
      <w:pPr>
        <w:spacing w:after="120"/>
        <w:jc w:val="both"/>
        <w:rPr>
          <w:rFonts w:ascii="Calibri" w:hAnsi="Calibri"/>
          <w:sz w:val="22"/>
        </w:rPr>
      </w:pPr>
      <w:r>
        <w:rPr>
          <w:rFonts w:ascii="Calibri" w:hAnsi="Calibri"/>
          <w:sz w:val="22"/>
        </w:rPr>
        <w:t xml:space="preserve">The Committee is requested to: </w:t>
      </w:r>
    </w:p>
    <w:p w14:paraId="10921ECF" w14:textId="77777777" w:rsidR="00277678" w:rsidRDefault="00793126">
      <w:pPr>
        <w:tabs>
          <w:tab w:val="left" w:pos="420"/>
          <w:tab w:val="left" w:pos="567"/>
        </w:tabs>
        <w:spacing w:after="120" w:line="240" w:lineRule="auto"/>
        <w:ind w:left="567" w:hanging="567"/>
        <w:jc w:val="both"/>
        <w:rPr>
          <w:rFonts w:eastAsia="Times New Roman" w:cs="Times New Roman"/>
          <w:sz w:val="22"/>
          <w:szCs w:val="20"/>
          <w:lang w:eastAsia="en-GB"/>
        </w:rPr>
      </w:pPr>
      <w:r>
        <w:rPr>
          <w:rFonts w:eastAsia="Times New Roman" w:cs="Times New Roman"/>
          <w:sz w:val="22"/>
          <w:szCs w:val="20"/>
          <w:lang w:eastAsia="en-GB"/>
        </w:rPr>
        <w:t>Consider the suggestions in section 3.</w:t>
      </w:r>
    </w:p>
    <w:p w14:paraId="10921ED0" w14:textId="77777777" w:rsidR="00277678" w:rsidRDefault="00793126">
      <w:pPr>
        <w:tabs>
          <w:tab w:val="left" w:pos="420"/>
          <w:tab w:val="left" w:pos="567"/>
        </w:tabs>
        <w:spacing w:after="120" w:line="240" w:lineRule="auto"/>
        <w:ind w:left="567" w:hanging="567"/>
        <w:jc w:val="both"/>
        <w:rPr>
          <w:rFonts w:eastAsia="Times New Roman" w:cs="Times New Roman"/>
          <w:sz w:val="22"/>
          <w:szCs w:val="20"/>
          <w:lang w:eastAsia="en-GB"/>
        </w:rPr>
      </w:pPr>
      <w:r>
        <w:rPr>
          <w:rFonts w:eastAsia="Times New Roman" w:cs="Times New Roman"/>
          <w:sz w:val="22"/>
          <w:szCs w:val="20"/>
          <w:lang w:eastAsia="en-GB"/>
        </w:rPr>
        <w:t>Take appropriate action.</w:t>
      </w:r>
    </w:p>
    <w:p w14:paraId="10921ED1" w14:textId="77777777" w:rsidR="00277678" w:rsidRDefault="00277678">
      <w:pPr>
        <w:spacing w:after="360" w:line="276" w:lineRule="auto"/>
        <w:ind w:left="851" w:hanging="851"/>
        <w:rPr>
          <w:b/>
          <w:caps/>
          <w:color w:val="00558C"/>
          <w:sz w:val="28"/>
        </w:rPr>
        <w:sectPr w:rsidR="00277678">
          <w:headerReference w:type="default" r:id="rId10"/>
          <w:footerReference w:type="default" r:id="rId11"/>
          <w:headerReference w:type="first" r:id="rId12"/>
          <w:footerReference w:type="first" r:id="rId13"/>
          <w:pgSz w:w="11906" w:h="16838"/>
          <w:pgMar w:top="1733" w:right="794" w:bottom="567" w:left="907" w:header="564" w:footer="611" w:gutter="0"/>
          <w:cols w:space="708"/>
          <w:titlePg/>
          <w:docGrid w:linePitch="360"/>
        </w:sectPr>
      </w:pPr>
    </w:p>
    <w:p w14:paraId="10921ED2" w14:textId="77777777" w:rsidR="00277678" w:rsidRDefault="00277678">
      <w:pPr>
        <w:spacing w:after="360" w:line="276" w:lineRule="auto"/>
        <w:ind w:left="851" w:hanging="851"/>
        <w:rPr>
          <w:rFonts w:eastAsia="SimSun"/>
          <w:b/>
          <w:caps/>
          <w:color w:val="00558C"/>
          <w:sz w:val="28"/>
          <w:lang w:eastAsia="zh-CN"/>
        </w:rPr>
      </w:pPr>
    </w:p>
    <w:tbl>
      <w:tblPr>
        <w:tblW w:w="499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1063"/>
        <w:gridCol w:w="1125"/>
        <w:gridCol w:w="1410"/>
        <w:gridCol w:w="1597"/>
        <w:gridCol w:w="4911"/>
        <w:gridCol w:w="3174"/>
      </w:tblGrid>
      <w:tr w:rsidR="00277678" w14:paraId="10921EDC" w14:textId="77777777">
        <w:trPr>
          <w:cantSplit/>
          <w:trHeight w:val="446"/>
          <w:tblHeader/>
        </w:trPr>
        <w:tc>
          <w:tcPr>
            <w:tcW w:w="1294" w:type="dxa"/>
            <w:noWrap/>
            <w:vAlign w:val="center"/>
          </w:tcPr>
          <w:p w14:paraId="10921ED3" w14:textId="77777777" w:rsidR="00277678" w:rsidRDefault="00793126">
            <w:pPr>
              <w:suppressAutoHyphens/>
              <w:spacing w:before="60" w:after="60"/>
              <w:ind w:left="113" w:right="113"/>
              <w:jc w:val="center"/>
              <w:rPr>
                <w:b/>
                <w:color w:val="00558C"/>
                <w:sz w:val="20"/>
                <w:lang w:val="en-US" w:eastAsia="en-GB"/>
              </w:rPr>
            </w:pPr>
            <w:r>
              <w:rPr>
                <w:b/>
                <w:color w:val="00558C"/>
                <w:sz w:val="20"/>
                <w:lang w:val="en-US" w:eastAsia="en-GB"/>
              </w:rPr>
              <w:t>Comment Number:</w:t>
            </w:r>
          </w:p>
          <w:p w14:paraId="10921ED4" w14:textId="77777777" w:rsidR="00277678" w:rsidRDefault="00793126">
            <w:pPr>
              <w:suppressAutoHyphens/>
              <w:spacing w:before="60" w:after="60"/>
              <w:ind w:left="113" w:right="113"/>
              <w:jc w:val="center"/>
              <w:rPr>
                <w:rFonts w:eastAsia="SimSun"/>
                <w:b/>
                <w:color w:val="00558C"/>
                <w:sz w:val="20"/>
                <w:lang w:val="en-US" w:eastAsia="zh-CN"/>
              </w:rPr>
            </w:pPr>
            <w:r>
              <w:rPr>
                <w:b/>
                <w:color w:val="00558C"/>
                <w:sz w:val="20"/>
                <w:lang w:val="en-US" w:eastAsia="en-GB"/>
              </w:rPr>
              <w:t>Name</w:t>
            </w:r>
            <w:r>
              <w:rPr>
                <w:rFonts w:eastAsia="SimSun"/>
                <w:b/>
                <w:color w:val="00558C"/>
                <w:sz w:val="20"/>
                <w:lang w:val="en-US" w:eastAsia="zh-CN"/>
              </w:rPr>
              <w:t>-#</w:t>
            </w:r>
          </w:p>
        </w:tc>
        <w:tc>
          <w:tcPr>
            <w:tcW w:w="1078" w:type="dxa"/>
            <w:vAlign w:val="center"/>
          </w:tcPr>
          <w:p w14:paraId="10921ED5" w14:textId="77777777" w:rsidR="00277678" w:rsidRDefault="00793126">
            <w:pPr>
              <w:suppressAutoHyphens/>
              <w:spacing w:before="60" w:after="60"/>
              <w:ind w:left="113" w:right="113"/>
              <w:jc w:val="center"/>
              <w:rPr>
                <w:b/>
                <w:color w:val="00558C"/>
                <w:sz w:val="20"/>
                <w:lang w:val="en-US" w:eastAsia="en-GB"/>
              </w:rPr>
            </w:pPr>
            <w:r>
              <w:rPr>
                <w:b/>
                <w:color w:val="00558C"/>
                <w:sz w:val="20"/>
                <w:lang w:val="en-US" w:eastAsia="en-GB"/>
              </w:rPr>
              <w:t>Change Log ID</w:t>
            </w:r>
          </w:p>
        </w:tc>
        <w:tc>
          <w:tcPr>
            <w:tcW w:w="1141" w:type="dxa"/>
            <w:noWrap/>
            <w:vAlign w:val="center"/>
          </w:tcPr>
          <w:p w14:paraId="10921ED6" w14:textId="77777777" w:rsidR="00277678" w:rsidRDefault="00793126">
            <w:pPr>
              <w:suppressAutoHyphens/>
              <w:spacing w:before="60" w:after="60"/>
              <w:ind w:left="113" w:right="113"/>
              <w:jc w:val="center"/>
              <w:rPr>
                <w:b/>
                <w:color w:val="00558C"/>
                <w:sz w:val="20"/>
                <w:lang w:val="en-US" w:eastAsia="en-GB"/>
              </w:rPr>
            </w:pPr>
            <w:r>
              <w:rPr>
                <w:b/>
                <w:color w:val="00558C"/>
                <w:sz w:val="20"/>
                <w:lang w:val="en-US" w:eastAsia="en-GB"/>
              </w:rPr>
              <w:t>Annex / Section</w:t>
            </w:r>
          </w:p>
        </w:tc>
        <w:tc>
          <w:tcPr>
            <w:tcW w:w="1431" w:type="dxa"/>
            <w:noWrap/>
            <w:vAlign w:val="center"/>
          </w:tcPr>
          <w:p w14:paraId="10921ED7" w14:textId="77777777" w:rsidR="00277678" w:rsidRDefault="00793126">
            <w:pPr>
              <w:suppressAutoHyphens/>
              <w:spacing w:before="60" w:after="60"/>
              <w:ind w:left="113" w:right="113"/>
              <w:jc w:val="center"/>
              <w:rPr>
                <w:b/>
                <w:color w:val="00558C"/>
                <w:sz w:val="20"/>
                <w:lang w:val="en-US" w:eastAsia="en-GB"/>
              </w:rPr>
            </w:pPr>
            <w:r>
              <w:rPr>
                <w:b/>
                <w:color w:val="00558C"/>
                <w:sz w:val="20"/>
                <w:lang w:val="en-US" w:eastAsia="en-GB"/>
              </w:rPr>
              <w:t>Section, Table, Figure</w:t>
            </w:r>
          </w:p>
          <w:p w14:paraId="10921ED8" w14:textId="77777777" w:rsidR="00277678" w:rsidRDefault="00277678">
            <w:pPr>
              <w:suppressAutoHyphens/>
              <w:spacing w:before="60" w:after="60"/>
              <w:ind w:left="113" w:right="113"/>
              <w:jc w:val="center"/>
              <w:rPr>
                <w:b/>
                <w:color w:val="00558C"/>
                <w:sz w:val="20"/>
                <w:lang w:val="en-US" w:eastAsia="en-GB"/>
              </w:rPr>
            </w:pPr>
          </w:p>
        </w:tc>
        <w:tc>
          <w:tcPr>
            <w:tcW w:w="1621" w:type="dxa"/>
            <w:noWrap/>
            <w:vAlign w:val="center"/>
          </w:tcPr>
          <w:p w14:paraId="10921ED9" w14:textId="77777777" w:rsidR="00277678" w:rsidRDefault="00793126">
            <w:pPr>
              <w:suppressAutoHyphens/>
              <w:spacing w:before="60" w:after="60"/>
              <w:ind w:left="113" w:right="113"/>
              <w:jc w:val="center"/>
              <w:rPr>
                <w:b/>
                <w:color w:val="00558C"/>
                <w:sz w:val="20"/>
                <w:lang w:val="en-US" w:eastAsia="en-GB"/>
              </w:rPr>
            </w:pPr>
            <w:r>
              <w:rPr>
                <w:b/>
                <w:color w:val="00558C"/>
                <w:sz w:val="20"/>
                <w:lang w:val="en-US" w:eastAsia="en-GB"/>
              </w:rPr>
              <w:t>Type of change</w:t>
            </w:r>
          </w:p>
        </w:tc>
        <w:tc>
          <w:tcPr>
            <w:tcW w:w="4994" w:type="dxa"/>
            <w:noWrap/>
            <w:vAlign w:val="center"/>
          </w:tcPr>
          <w:p w14:paraId="10921EDA" w14:textId="77777777" w:rsidR="00277678" w:rsidRDefault="00793126">
            <w:pPr>
              <w:suppressAutoHyphens/>
              <w:spacing w:before="60" w:after="60"/>
              <w:ind w:left="113" w:right="113"/>
              <w:jc w:val="center"/>
              <w:rPr>
                <w:b/>
                <w:color w:val="00558C"/>
                <w:sz w:val="20"/>
                <w:lang w:val="en-US" w:eastAsia="en-GB"/>
              </w:rPr>
            </w:pPr>
            <w:r>
              <w:rPr>
                <w:b/>
                <w:color w:val="00558C"/>
                <w:sz w:val="20"/>
                <w:lang w:val="en-US" w:eastAsia="en-GB"/>
              </w:rPr>
              <w:t>Reason for the change, or what you want to accomplish</w:t>
            </w:r>
          </w:p>
        </w:tc>
        <w:tc>
          <w:tcPr>
            <w:tcW w:w="3226" w:type="dxa"/>
            <w:noWrap/>
            <w:vAlign w:val="center"/>
          </w:tcPr>
          <w:p w14:paraId="10921EDB" w14:textId="77777777" w:rsidR="00277678" w:rsidRDefault="00793126">
            <w:pPr>
              <w:suppressAutoHyphens/>
              <w:spacing w:before="60" w:after="60"/>
              <w:ind w:left="113" w:right="113"/>
              <w:jc w:val="center"/>
              <w:rPr>
                <w:b/>
                <w:color w:val="00558C"/>
                <w:sz w:val="20"/>
                <w:lang w:val="en-US" w:eastAsia="en-GB"/>
              </w:rPr>
            </w:pPr>
            <w:r>
              <w:rPr>
                <w:b/>
                <w:color w:val="00558C"/>
                <w:sz w:val="20"/>
                <w:lang w:val="en-US" w:eastAsia="en-GB"/>
              </w:rPr>
              <w:t>Proposed change to ITU-R M.2092-1, short editorial changes can be include here (large changes should be documented below)</w:t>
            </w:r>
          </w:p>
        </w:tc>
      </w:tr>
      <w:tr w:rsidR="00277678" w14:paraId="10921EE5" w14:textId="77777777">
        <w:trPr>
          <w:cantSplit/>
          <w:trHeight w:val="1500"/>
        </w:trPr>
        <w:tc>
          <w:tcPr>
            <w:tcW w:w="1294" w:type="dxa"/>
            <w:vAlign w:val="center"/>
          </w:tcPr>
          <w:p w14:paraId="10921EDD" w14:textId="77777777" w:rsidR="00277678" w:rsidRDefault="00793126">
            <w:pPr>
              <w:suppressAutoHyphens/>
              <w:spacing w:before="60" w:after="60"/>
              <w:ind w:left="113" w:right="113"/>
              <w:rPr>
                <w:color w:val="000000" w:themeColor="text1"/>
                <w:sz w:val="20"/>
                <w:lang w:val="en-US" w:eastAsia="zh-CN"/>
              </w:rPr>
            </w:pPr>
            <w:r>
              <w:rPr>
                <w:color w:val="000000" w:themeColor="text1"/>
                <w:sz w:val="20"/>
                <w:lang w:val="en-US" w:eastAsia="zh-CN"/>
              </w:rPr>
              <w:t>China MSA-1</w:t>
            </w:r>
          </w:p>
        </w:tc>
        <w:tc>
          <w:tcPr>
            <w:tcW w:w="1078" w:type="dxa"/>
            <w:vAlign w:val="center"/>
          </w:tcPr>
          <w:p w14:paraId="10921EDE" w14:textId="77777777" w:rsidR="00277678" w:rsidRDefault="00793126">
            <w:pPr>
              <w:suppressAutoHyphens/>
              <w:spacing w:before="60" w:after="60"/>
              <w:ind w:left="113" w:right="113"/>
              <w:rPr>
                <w:color w:val="000000" w:themeColor="text1"/>
                <w:sz w:val="20"/>
                <w:lang w:val="en-US" w:eastAsia="zh-CN"/>
              </w:rPr>
            </w:pPr>
            <w:r>
              <w:rPr>
                <w:color w:val="000000" w:themeColor="text1"/>
                <w:sz w:val="20"/>
                <w:lang w:val="en-US" w:eastAsia="zh-CN"/>
              </w:rPr>
              <w:t>NA</w:t>
            </w:r>
          </w:p>
        </w:tc>
        <w:tc>
          <w:tcPr>
            <w:tcW w:w="1141" w:type="dxa"/>
            <w:vAlign w:val="center"/>
          </w:tcPr>
          <w:p w14:paraId="10921EDF" w14:textId="77777777" w:rsidR="00277678" w:rsidRDefault="00793126">
            <w:pPr>
              <w:suppressAutoHyphens/>
              <w:spacing w:before="60" w:after="60"/>
              <w:ind w:left="113" w:right="113"/>
              <w:rPr>
                <w:color w:val="000000" w:themeColor="text1"/>
                <w:sz w:val="20"/>
                <w:lang w:val="en-US" w:eastAsia="zh-CN"/>
              </w:rPr>
            </w:pPr>
            <w:r>
              <w:rPr>
                <w:color w:val="000000" w:themeColor="text1"/>
                <w:sz w:val="20"/>
                <w:lang w:val="en-US" w:eastAsia="zh-CN"/>
              </w:rPr>
              <w:t>Annex 3</w:t>
            </w:r>
          </w:p>
        </w:tc>
        <w:tc>
          <w:tcPr>
            <w:tcW w:w="1431" w:type="dxa"/>
            <w:vAlign w:val="center"/>
          </w:tcPr>
          <w:p w14:paraId="10921EE0" w14:textId="77777777" w:rsidR="00277678" w:rsidRDefault="00793126">
            <w:pPr>
              <w:suppressAutoHyphens/>
              <w:spacing w:before="60" w:after="60"/>
              <w:ind w:left="113" w:right="113"/>
              <w:rPr>
                <w:color w:val="000000" w:themeColor="text1"/>
                <w:sz w:val="20"/>
                <w:lang w:val="en-US" w:eastAsia="zh-CN"/>
              </w:rPr>
            </w:pPr>
            <w:r>
              <w:rPr>
                <w:color w:val="000000" w:themeColor="text1"/>
                <w:sz w:val="20"/>
                <w:lang w:val="fr-FR" w:eastAsia="zh-CN"/>
              </w:rPr>
              <w:t>7.10</w:t>
            </w:r>
            <w:r>
              <w:rPr>
                <w:color w:val="000000" w:themeColor="text1"/>
                <w:sz w:val="20"/>
                <w:lang w:val="en-US" w:eastAsia="zh-CN"/>
              </w:rPr>
              <w:t>,</w:t>
            </w:r>
          </w:p>
          <w:p w14:paraId="10921EE1" w14:textId="77777777" w:rsidR="00277678" w:rsidRDefault="00793126">
            <w:pPr>
              <w:suppressAutoHyphens/>
              <w:spacing w:before="60" w:after="60"/>
              <w:ind w:left="113" w:right="113"/>
              <w:rPr>
                <w:color w:val="000000" w:themeColor="text1"/>
                <w:sz w:val="20"/>
                <w:lang w:val="en-US" w:eastAsia="zh-CN"/>
              </w:rPr>
            </w:pPr>
            <w:r>
              <w:rPr>
                <w:color w:val="000000" w:themeColor="text1"/>
                <w:sz w:val="20"/>
                <w:lang w:val="fr-FR" w:eastAsia="zh-CN"/>
              </w:rPr>
              <w:t>Table 33</w:t>
            </w:r>
          </w:p>
        </w:tc>
        <w:tc>
          <w:tcPr>
            <w:tcW w:w="1621" w:type="dxa"/>
            <w:vAlign w:val="center"/>
          </w:tcPr>
          <w:p w14:paraId="10921EE2" w14:textId="77777777" w:rsidR="00277678" w:rsidRDefault="00793126">
            <w:pPr>
              <w:suppressAutoHyphens/>
              <w:spacing w:before="60" w:after="60"/>
              <w:ind w:left="113" w:right="113"/>
              <w:rPr>
                <w:color w:val="000000" w:themeColor="text1"/>
                <w:sz w:val="20"/>
                <w:lang w:val="en-US" w:eastAsia="zh-CN"/>
              </w:rPr>
            </w:pPr>
            <w:r>
              <w:rPr>
                <w:color w:val="000000" w:themeColor="text1"/>
                <w:sz w:val="20"/>
                <w:lang w:val="en-US" w:eastAsia="zh-CN"/>
              </w:rPr>
              <w:t>Tech. Improvement</w:t>
            </w:r>
          </w:p>
        </w:tc>
        <w:tc>
          <w:tcPr>
            <w:tcW w:w="4994" w:type="dxa"/>
            <w:vAlign w:val="center"/>
          </w:tcPr>
          <w:p w14:paraId="10921EE3" w14:textId="77777777" w:rsidR="00277678" w:rsidRDefault="00793126">
            <w:pPr>
              <w:suppressAutoHyphens/>
              <w:spacing w:before="60" w:after="60"/>
              <w:ind w:left="113" w:right="113"/>
              <w:rPr>
                <w:color w:val="000000" w:themeColor="text1"/>
                <w:sz w:val="20"/>
                <w:lang w:val="en-US" w:eastAsia="zh-CN"/>
              </w:rPr>
            </w:pPr>
            <w:r>
              <w:rPr>
                <w:color w:val="000000" w:themeColor="text1"/>
                <w:sz w:val="20"/>
                <w:lang w:val="en-US" w:eastAsia="zh-CN"/>
              </w:rPr>
              <w:t>According to the consensus reached at the 4th meeting of the DTEC Committee, the decision to inhibit ASM-SAT transmissions from shipborne stations within coastal areas shall be controlled by shore stations. This issue has been deliberated during DTEC 5. In order to support this functionality, a control field has been added to Table 33, and corresponding instructions for the use of this field have been supplemented in Section 7.10.</w:t>
            </w:r>
          </w:p>
        </w:tc>
        <w:tc>
          <w:tcPr>
            <w:tcW w:w="3226" w:type="dxa"/>
            <w:vAlign w:val="center"/>
          </w:tcPr>
          <w:p w14:paraId="10921EE4" w14:textId="77777777" w:rsidR="00277678" w:rsidRDefault="00793126">
            <w:pPr>
              <w:suppressAutoHyphens/>
              <w:spacing w:before="60" w:after="60"/>
              <w:ind w:left="113" w:right="113"/>
              <w:rPr>
                <w:color w:val="000000" w:themeColor="text1"/>
                <w:sz w:val="20"/>
                <w:lang w:val="en-US" w:eastAsia="zh-CN"/>
              </w:rPr>
            </w:pPr>
            <w:r>
              <w:rPr>
                <w:color w:val="000000" w:themeColor="text1"/>
                <w:sz w:val="20"/>
                <w:lang w:val="en-US" w:eastAsia="zh-CN"/>
              </w:rPr>
              <w:t>Modify as shown below.</w:t>
            </w:r>
          </w:p>
        </w:tc>
      </w:tr>
      <w:tr w:rsidR="00277678" w14:paraId="10921EED" w14:textId="77777777">
        <w:trPr>
          <w:cantSplit/>
          <w:trHeight w:val="1500"/>
        </w:trPr>
        <w:tc>
          <w:tcPr>
            <w:tcW w:w="1294" w:type="dxa"/>
            <w:vAlign w:val="center"/>
          </w:tcPr>
          <w:p w14:paraId="10921EE6" w14:textId="77777777" w:rsidR="00277678" w:rsidRDefault="00793126">
            <w:pPr>
              <w:suppressAutoHyphens/>
              <w:spacing w:before="60" w:after="60"/>
              <w:ind w:left="113" w:right="113"/>
              <w:rPr>
                <w:color w:val="000000" w:themeColor="text1"/>
                <w:sz w:val="20"/>
                <w:lang w:val="en-US" w:eastAsia="zh-CN"/>
              </w:rPr>
            </w:pPr>
            <w:r>
              <w:rPr>
                <w:color w:val="000000" w:themeColor="text1"/>
                <w:sz w:val="20"/>
                <w:lang w:val="en-US" w:eastAsia="zh-CN"/>
              </w:rPr>
              <w:t>China MSA-2</w:t>
            </w:r>
          </w:p>
        </w:tc>
        <w:tc>
          <w:tcPr>
            <w:tcW w:w="1078" w:type="dxa"/>
            <w:vAlign w:val="center"/>
          </w:tcPr>
          <w:p w14:paraId="10921EE7" w14:textId="77777777" w:rsidR="00277678" w:rsidRDefault="00793126">
            <w:pPr>
              <w:suppressAutoHyphens/>
              <w:spacing w:before="60" w:after="60"/>
              <w:ind w:left="113" w:right="113"/>
              <w:rPr>
                <w:color w:val="000000" w:themeColor="text1"/>
                <w:sz w:val="20"/>
                <w:lang w:val="en-US" w:eastAsia="zh-CN"/>
              </w:rPr>
            </w:pPr>
            <w:r>
              <w:rPr>
                <w:color w:val="000000" w:themeColor="text1"/>
                <w:sz w:val="20"/>
                <w:lang w:val="en-US" w:eastAsia="zh-CN"/>
              </w:rPr>
              <w:t>NA</w:t>
            </w:r>
          </w:p>
        </w:tc>
        <w:tc>
          <w:tcPr>
            <w:tcW w:w="1141" w:type="dxa"/>
            <w:vAlign w:val="center"/>
          </w:tcPr>
          <w:p w14:paraId="10921EE8" w14:textId="77777777" w:rsidR="00277678" w:rsidRDefault="00793126">
            <w:pPr>
              <w:suppressAutoHyphens/>
              <w:spacing w:before="60" w:after="60"/>
              <w:ind w:left="113" w:right="113"/>
              <w:rPr>
                <w:color w:val="000000" w:themeColor="text1"/>
                <w:sz w:val="20"/>
                <w:lang w:val="en-US" w:eastAsia="zh-CN"/>
              </w:rPr>
            </w:pPr>
            <w:r>
              <w:rPr>
                <w:color w:val="000000" w:themeColor="text1"/>
                <w:sz w:val="20"/>
                <w:lang w:val="en-US" w:eastAsia="zh-CN"/>
              </w:rPr>
              <w:t>Annex 6</w:t>
            </w:r>
          </w:p>
        </w:tc>
        <w:tc>
          <w:tcPr>
            <w:tcW w:w="1431" w:type="dxa"/>
            <w:vAlign w:val="center"/>
          </w:tcPr>
          <w:p w14:paraId="10921EE9" w14:textId="77777777" w:rsidR="00277678" w:rsidRDefault="00793126">
            <w:pPr>
              <w:suppressAutoHyphens/>
              <w:spacing w:before="60" w:after="60"/>
              <w:ind w:left="113" w:right="113"/>
              <w:rPr>
                <w:color w:val="000000" w:themeColor="text1"/>
                <w:sz w:val="20"/>
                <w:lang w:val="en-US" w:eastAsia="zh-CN"/>
              </w:rPr>
            </w:pPr>
            <w:r>
              <w:rPr>
                <w:color w:val="000000" w:themeColor="text1"/>
                <w:sz w:val="20"/>
                <w:lang w:val="en-US" w:eastAsia="zh-CN"/>
              </w:rPr>
              <w:t>2.1</w:t>
            </w:r>
          </w:p>
        </w:tc>
        <w:tc>
          <w:tcPr>
            <w:tcW w:w="1621" w:type="dxa"/>
            <w:vAlign w:val="center"/>
          </w:tcPr>
          <w:p w14:paraId="10921EEA" w14:textId="77777777" w:rsidR="00277678" w:rsidRDefault="00793126">
            <w:pPr>
              <w:suppressAutoHyphens/>
              <w:spacing w:before="60" w:after="60"/>
              <w:ind w:left="113" w:right="113"/>
              <w:rPr>
                <w:color w:val="000000" w:themeColor="text1"/>
                <w:sz w:val="20"/>
                <w:lang w:val="en-US" w:eastAsia="zh-CN"/>
              </w:rPr>
            </w:pPr>
            <w:r>
              <w:rPr>
                <w:color w:val="000000" w:themeColor="text1"/>
                <w:sz w:val="20"/>
                <w:lang w:val="en-US" w:eastAsia="zh-CN"/>
              </w:rPr>
              <w:t>Tech. Improvement</w:t>
            </w:r>
          </w:p>
        </w:tc>
        <w:tc>
          <w:tcPr>
            <w:tcW w:w="4994" w:type="dxa"/>
            <w:vAlign w:val="center"/>
          </w:tcPr>
          <w:p w14:paraId="10921EEB" w14:textId="77777777" w:rsidR="00277678" w:rsidRDefault="00793126">
            <w:pPr>
              <w:suppressAutoHyphens/>
              <w:spacing w:before="60" w:after="60"/>
              <w:ind w:left="113" w:right="113"/>
              <w:rPr>
                <w:color w:val="000000" w:themeColor="text1"/>
                <w:sz w:val="20"/>
                <w:lang w:val="fr-FR" w:eastAsia="zh-CN"/>
              </w:rPr>
            </w:pPr>
            <w:r>
              <w:rPr>
                <w:color w:val="000000" w:themeColor="text1"/>
                <w:sz w:val="20"/>
                <w:lang w:val="fr-FR" w:eastAsia="zh-CN"/>
              </w:rPr>
              <w:t>The downlink duration of VDE-SAT is up to 2.4 seconds at most, while the firing interval of AIS for high dynamic ships is only 2 seconds. If the absolute priority of AIS is strictly implemented, the reception of long messages will be physically interrupted by 100% determinism, resulting in the unavailability of the link and invalid retransmission. Within a limited time and in the absence of AIS targets around, suppressing AIS emissions for a short period of time will not cause security risks and can significantly improve the downlink efficiency of VDE-SAT.</w:t>
            </w:r>
          </w:p>
        </w:tc>
        <w:tc>
          <w:tcPr>
            <w:tcW w:w="3226" w:type="dxa"/>
            <w:vAlign w:val="center"/>
          </w:tcPr>
          <w:p w14:paraId="10921EEC" w14:textId="77777777" w:rsidR="00277678" w:rsidRDefault="00793126">
            <w:pPr>
              <w:suppressAutoHyphens/>
              <w:spacing w:before="60" w:after="60"/>
              <w:ind w:left="113" w:right="113"/>
              <w:rPr>
                <w:color w:val="000000" w:themeColor="text1"/>
                <w:sz w:val="20"/>
                <w:lang w:val="en-US" w:eastAsia="zh-CN"/>
              </w:rPr>
            </w:pPr>
            <w:r>
              <w:rPr>
                <w:color w:val="000000" w:themeColor="text1"/>
                <w:sz w:val="20"/>
                <w:lang w:val="en-US" w:eastAsia="zh-CN"/>
              </w:rPr>
              <w:t>Modify as shown below.</w:t>
            </w:r>
          </w:p>
        </w:tc>
      </w:tr>
    </w:tbl>
    <w:p w14:paraId="10921EEE" w14:textId="77777777" w:rsidR="00277678" w:rsidRDefault="00277678">
      <w:pPr>
        <w:spacing w:before="120" w:after="240" w:line="278" w:lineRule="auto"/>
        <w:rPr>
          <w:rFonts w:ascii="Calibri" w:eastAsia="Calibri" w:hAnsi="Calibri" w:cs="Calibri"/>
          <w:b/>
          <w:bCs/>
          <w:caps/>
          <w:color w:val="00558C"/>
          <w:sz w:val="28"/>
          <w:szCs w:val="28"/>
        </w:rPr>
        <w:sectPr w:rsidR="00277678">
          <w:headerReference w:type="default" r:id="rId14"/>
          <w:pgSz w:w="16838" w:h="11906" w:orient="landscape"/>
          <w:pgMar w:top="1134" w:right="1134" w:bottom="1134" w:left="1134" w:header="709" w:footer="709" w:gutter="0"/>
          <w:cols w:space="708"/>
          <w:docGrid w:linePitch="360"/>
        </w:sectPr>
      </w:pPr>
    </w:p>
    <w:p w14:paraId="10921EEF" w14:textId="77777777" w:rsidR="00277678" w:rsidRDefault="00793126">
      <w:pPr>
        <w:spacing w:after="160" w:line="240" w:lineRule="auto"/>
        <w:rPr>
          <w:rFonts w:ascii="Arial" w:eastAsia="SimSun" w:hAnsi="Arial" w:cs="Calibri"/>
          <w:b/>
          <w:sz w:val="22"/>
          <w:lang w:val="en-US" w:eastAsia="zh-CN"/>
        </w:rPr>
      </w:pPr>
      <w:r>
        <w:rPr>
          <w:rFonts w:ascii="Arial" w:eastAsia="SimSun" w:hAnsi="Arial" w:cs="Calibri"/>
          <w:b/>
          <w:sz w:val="22"/>
          <w:lang w:val="en-US" w:eastAsia="zh-CN"/>
        </w:rPr>
        <w:lastRenderedPageBreak/>
        <w:t>Comments:</w:t>
      </w:r>
    </w:p>
    <w:p w14:paraId="10921EF0" w14:textId="77777777" w:rsidR="00277678" w:rsidRDefault="00793126">
      <w:pPr>
        <w:spacing w:after="120"/>
        <w:ind w:firstLineChars="200" w:firstLine="440"/>
        <w:jc w:val="both"/>
        <w:rPr>
          <w:rFonts w:eastAsia="SimSun"/>
          <w:sz w:val="22"/>
          <w:lang w:eastAsia="zh-CN"/>
        </w:rPr>
      </w:pPr>
      <w:r>
        <w:rPr>
          <w:rFonts w:eastAsia="SimSun"/>
          <w:sz w:val="22"/>
          <w:lang w:eastAsia="zh-CN"/>
        </w:rPr>
        <w:t xml:space="preserve">The proposed revisions are shown in track changes and </w:t>
      </w:r>
      <w:r>
        <w:rPr>
          <w:rFonts w:eastAsia="SimSun"/>
          <w:sz w:val="22"/>
          <w:highlight w:val="cyan"/>
          <w:lang w:eastAsia="zh-CN"/>
        </w:rPr>
        <w:t xml:space="preserve">highlighted </w:t>
      </w:r>
      <w:r>
        <w:rPr>
          <w:rFonts w:eastAsia="SimSun"/>
          <w:sz w:val="22"/>
          <w:highlight w:val="cyan"/>
          <w:lang w:val="en-US" w:eastAsia="zh-CN"/>
        </w:rPr>
        <w:t>blue</w:t>
      </w:r>
      <w:r>
        <w:rPr>
          <w:rFonts w:eastAsia="SimSun"/>
          <w:sz w:val="22"/>
          <w:lang w:eastAsia="zh-CN"/>
        </w:rPr>
        <w:t xml:space="preserve"> in the Attachment.</w:t>
      </w:r>
    </w:p>
    <w:p w14:paraId="10921EF1" w14:textId="77777777" w:rsidR="00277678" w:rsidRDefault="00793126">
      <w:pPr>
        <w:keepNext/>
        <w:keepLines/>
        <w:tabs>
          <w:tab w:val="left" w:pos="0"/>
          <w:tab w:val="left" w:pos="567"/>
        </w:tabs>
        <w:spacing w:before="240" w:after="200" w:line="240" w:lineRule="atLeast"/>
        <w:outlineLvl w:val="0"/>
        <w:rPr>
          <w:rFonts w:ascii="Calibri" w:eastAsiaTheme="majorEastAsia" w:hAnsi="Calibri" w:cstheme="majorBidi"/>
          <w:b/>
          <w:bCs/>
          <w:caps/>
          <w:color w:val="00558C"/>
          <w:sz w:val="30"/>
          <w:szCs w:val="30"/>
        </w:rPr>
      </w:pPr>
      <w:r>
        <w:rPr>
          <w:rFonts w:ascii="Calibri" w:eastAsiaTheme="majorEastAsia" w:hAnsi="Calibri" w:cstheme="majorBidi"/>
          <w:b/>
          <w:bCs/>
          <w:caps/>
          <w:color w:val="00558C"/>
          <w:sz w:val="30"/>
          <w:szCs w:val="30"/>
        </w:rPr>
        <w:t>C</w:t>
      </w:r>
      <w:r>
        <w:rPr>
          <w:rFonts w:ascii="Calibri" w:eastAsiaTheme="majorEastAsia" w:hAnsi="Calibri" w:cstheme="majorBidi"/>
          <w:b/>
          <w:bCs/>
          <w:caps/>
          <w:color w:val="00558C"/>
          <w:sz w:val="30"/>
          <w:szCs w:val="30"/>
          <w:lang w:eastAsia="ja-JP"/>
        </w:rPr>
        <w:t>hina</w:t>
      </w:r>
      <w:r>
        <w:rPr>
          <w:rFonts w:ascii="Calibri" w:eastAsiaTheme="majorEastAsia" w:hAnsi="Calibri" w:cstheme="majorBidi"/>
          <w:b/>
          <w:bCs/>
          <w:caps/>
          <w:color w:val="00558C"/>
          <w:sz w:val="30"/>
          <w:szCs w:val="30"/>
        </w:rPr>
        <w:t xml:space="preserve"> MSA-1</w:t>
      </w:r>
    </w:p>
    <w:p w14:paraId="10921EF2" w14:textId="77777777" w:rsidR="00277678" w:rsidRDefault="00793126">
      <w:pPr>
        <w:keepNext/>
        <w:keepLines/>
        <w:tabs>
          <w:tab w:val="left" w:pos="0"/>
        </w:tabs>
        <w:spacing w:before="240" w:after="200" w:line="240" w:lineRule="atLeast"/>
        <w:ind w:left="851" w:right="709" w:hanging="851"/>
        <w:outlineLvl w:val="1"/>
        <w:rPr>
          <w:rFonts w:ascii="Times New Roman" w:eastAsia="SimSun" w:hAnsi="Times New Roman" w:cs="Times New Roman"/>
          <w:b/>
          <w:caps/>
          <w:color w:val="00558C"/>
          <w:sz w:val="24"/>
          <w:szCs w:val="20"/>
          <w:lang w:eastAsia="zh-CN"/>
        </w:rPr>
      </w:pPr>
      <w:r>
        <w:rPr>
          <w:rFonts w:ascii="Calibri" w:eastAsia="Calibri" w:hAnsi="Calibri" w:cstheme="majorBidi"/>
          <w:b/>
          <w:bCs/>
          <w:caps/>
          <w:color w:val="00558C"/>
          <w:sz w:val="24"/>
          <w:szCs w:val="24"/>
          <w:lang w:eastAsia="en-GB"/>
        </w:rPr>
        <w:t>7.10</w:t>
      </w:r>
      <w:r>
        <w:rPr>
          <w:rFonts w:ascii="Calibri" w:eastAsia="Calibri" w:hAnsi="Calibri" w:cstheme="majorBidi"/>
          <w:b/>
          <w:bCs/>
          <w:caps/>
          <w:color w:val="00558C"/>
          <w:sz w:val="24"/>
          <w:szCs w:val="24"/>
          <w:lang w:eastAsia="en-GB"/>
        </w:rPr>
        <w:tab/>
      </w:r>
      <w:r>
        <w:rPr>
          <w:rFonts w:ascii="Calibri" w:eastAsia="Calibri" w:hAnsi="Calibri" w:cstheme="majorBidi"/>
          <w:b/>
          <w:caps/>
          <w:color w:val="00558C"/>
          <w:sz w:val="24"/>
          <w:szCs w:val="24"/>
          <w:lang w:eastAsia="en-GB"/>
        </w:rPr>
        <w:t xml:space="preserve">Message 7: ASM </w:t>
      </w:r>
      <w:r>
        <w:rPr>
          <w:rFonts w:ascii="Calibri" w:eastAsia="Calibri" w:hAnsi="Calibri" w:cstheme="majorBidi" w:hint="eastAsia"/>
          <w:b/>
          <w:caps/>
          <w:color w:val="00558C"/>
          <w:sz w:val="24"/>
          <w:szCs w:val="24"/>
          <w:lang w:eastAsia="en-GB"/>
        </w:rPr>
        <w:t>d</w:t>
      </w:r>
      <w:r>
        <w:rPr>
          <w:rFonts w:ascii="Calibri" w:eastAsia="Calibri" w:hAnsi="Calibri" w:cstheme="majorBidi"/>
          <w:b/>
          <w:caps/>
          <w:color w:val="00558C"/>
          <w:sz w:val="24"/>
          <w:szCs w:val="24"/>
          <w:lang w:eastAsia="en-GB"/>
        </w:rPr>
        <w:t>ata link management message</w:t>
      </w:r>
    </w:p>
    <w:p w14:paraId="10921EF3" w14:textId="77777777" w:rsidR="00277678" w:rsidRDefault="00793126">
      <w:pPr>
        <w:spacing w:after="120"/>
        <w:jc w:val="both"/>
        <w:rPr>
          <w:rFonts w:eastAsia="SimSun"/>
          <w:sz w:val="22"/>
          <w:lang w:eastAsia="zh-CN"/>
        </w:rPr>
      </w:pPr>
      <w:r>
        <w:rPr>
          <w:rFonts w:eastAsia="SimSun"/>
          <w:sz w:val="22"/>
          <w:highlight w:val="cyan"/>
          <w:lang w:eastAsia="zh-CN"/>
        </w:rPr>
        <w:t xml:space="preserve">In addition, this message is also used to control the enabling and disabling of the ASM-SAT function on shipborne stations within the coverage area of shore stations. For shipborne stations, ASM-SAT is enabled by default. If the shipborne station receives message 7 containing the value </w:t>
      </w:r>
      <w:r>
        <w:rPr>
          <w:rFonts w:eastAsia="SimSun" w:hint="eastAsia"/>
          <w:sz w:val="22"/>
          <w:highlight w:val="cyan"/>
          <w:lang w:val="en-US" w:eastAsia="zh-CN"/>
        </w:rPr>
        <w:t>1</w:t>
      </w:r>
      <w:r>
        <w:rPr>
          <w:rFonts w:eastAsia="SimSun"/>
          <w:sz w:val="22"/>
          <w:highlight w:val="cyan"/>
          <w:lang w:eastAsia="zh-CN"/>
        </w:rPr>
        <w:t xml:space="preserve"> in the "transmission control for ASM-SAT" field for at least 4 minutes within a 5-minute window, it shall disable ASM-SAT. Conversely, if no messages containing the value </w:t>
      </w:r>
      <w:r>
        <w:rPr>
          <w:rFonts w:eastAsia="SimSun" w:hint="eastAsia"/>
          <w:sz w:val="22"/>
          <w:highlight w:val="cyan"/>
          <w:lang w:val="en-US" w:eastAsia="zh-CN"/>
        </w:rPr>
        <w:t>1</w:t>
      </w:r>
      <w:r>
        <w:rPr>
          <w:rFonts w:eastAsia="SimSun"/>
          <w:sz w:val="22"/>
          <w:highlight w:val="cyan"/>
          <w:lang w:eastAsia="zh-CN"/>
        </w:rPr>
        <w:t xml:space="preserve"> in the "transmission control for ASM-SAT" field are received for 3 consecutive minutes within a 5-minute window, the shipborne station shall enable (or return to) the ASM-SAT enabled state.</w:t>
      </w:r>
    </w:p>
    <w:p w14:paraId="10921EF4" w14:textId="77777777" w:rsidR="00277678" w:rsidRDefault="00793126">
      <w:pPr>
        <w:keepNext/>
        <w:tabs>
          <w:tab w:val="left" w:pos="1134"/>
          <w:tab w:val="left" w:pos="1871"/>
          <w:tab w:val="left" w:pos="2268"/>
        </w:tabs>
        <w:overflowPunct w:val="0"/>
        <w:autoSpaceDE w:val="0"/>
        <w:autoSpaceDN w:val="0"/>
        <w:adjustRightInd w:val="0"/>
        <w:spacing w:before="560" w:after="120" w:line="240" w:lineRule="auto"/>
        <w:jc w:val="center"/>
        <w:textAlignment w:val="baseline"/>
        <w:rPr>
          <w:rFonts w:ascii="Times New Roman" w:eastAsia="SimSun" w:hAnsi="Times New Roman" w:cs="Times New Roman"/>
          <w:caps/>
          <w:sz w:val="20"/>
          <w:szCs w:val="20"/>
        </w:rPr>
      </w:pPr>
      <w:r>
        <w:rPr>
          <w:rFonts w:ascii="Times New Roman" w:eastAsia="SimSun" w:hAnsi="Times New Roman" w:cs="Times New Roman"/>
          <w:caps/>
          <w:sz w:val="20"/>
          <w:szCs w:val="20"/>
        </w:rPr>
        <w:t>Table 33</w:t>
      </w:r>
    </w:p>
    <w:p w14:paraId="10921EF5" w14:textId="77777777" w:rsidR="00277678" w:rsidRDefault="00793126">
      <w:pPr>
        <w:keepNext/>
        <w:keepLines/>
        <w:tabs>
          <w:tab w:val="left" w:pos="1134"/>
          <w:tab w:val="left" w:pos="1871"/>
          <w:tab w:val="left" w:pos="2268"/>
        </w:tabs>
        <w:overflowPunct w:val="0"/>
        <w:autoSpaceDE w:val="0"/>
        <w:autoSpaceDN w:val="0"/>
        <w:adjustRightInd w:val="0"/>
        <w:spacing w:after="120" w:line="240" w:lineRule="auto"/>
        <w:jc w:val="center"/>
        <w:textAlignment w:val="baseline"/>
        <w:rPr>
          <w:rFonts w:ascii="Times New Roman Bold" w:eastAsia="SimSun" w:hAnsi="Times New Roman Bold" w:cs="Times New Roman"/>
          <w:b/>
          <w:sz w:val="20"/>
          <w:szCs w:val="20"/>
        </w:rPr>
      </w:pPr>
      <w:r>
        <w:rPr>
          <w:rFonts w:ascii="Times New Roman Bold" w:eastAsia="SimSun" w:hAnsi="Times New Roman Bold" w:cs="Times New Roman"/>
          <w:b/>
          <w:sz w:val="20"/>
          <w:szCs w:val="20"/>
        </w:rPr>
        <w:t>ASM data link management message</w:t>
      </w:r>
    </w:p>
    <w:tbl>
      <w:tblPr>
        <w:tblStyle w:val="10"/>
        <w:tblW w:w="5000" w:type="pct"/>
        <w:tblCellMar>
          <w:left w:w="28" w:type="dxa"/>
          <w:right w:w="28" w:type="dxa"/>
        </w:tblCellMar>
        <w:tblLook w:val="04A0" w:firstRow="1" w:lastRow="0" w:firstColumn="1" w:lastColumn="0" w:noHBand="0" w:noVBand="1"/>
      </w:tblPr>
      <w:tblGrid>
        <w:gridCol w:w="1078"/>
        <w:gridCol w:w="1262"/>
        <w:gridCol w:w="850"/>
        <w:gridCol w:w="5645"/>
      </w:tblGrid>
      <w:tr w:rsidR="00277678" w14:paraId="10921EFA" w14:textId="77777777">
        <w:trPr>
          <w:cantSplit/>
          <w:tblHeader/>
        </w:trPr>
        <w:tc>
          <w:tcPr>
            <w:tcW w:w="560" w:type="pct"/>
          </w:tcPr>
          <w:p w14:paraId="10921EF6" w14:textId="77777777" w:rsidR="00277678" w:rsidRDefault="00793126">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Bold" w:eastAsia="Batang" w:hAnsi="Times New Roman Bold" w:cs="Times New Roman Bold"/>
                <w:b/>
                <w:sz w:val="20"/>
                <w:szCs w:val="20"/>
              </w:rPr>
            </w:pPr>
            <w:r>
              <w:rPr>
                <w:rFonts w:ascii="Times New Roman Bold" w:eastAsia="Batang" w:hAnsi="Times New Roman Bold" w:cs="Times New Roman Bold"/>
                <w:b/>
                <w:sz w:val="20"/>
                <w:szCs w:val="20"/>
              </w:rPr>
              <w:t>Reservation Block</w:t>
            </w:r>
          </w:p>
        </w:tc>
        <w:tc>
          <w:tcPr>
            <w:tcW w:w="731" w:type="pct"/>
          </w:tcPr>
          <w:p w14:paraId="10921EF7" w14:textId="77777777" w:rsidR="00277678" w:rsidRDefault="00793126">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w:eastAsia="Batang" w:hAnsi="Times New Roman" w:cs="Times New Roman Bold"/>
                <w:b/>
                <w:sz w:val="20"/>
                <w:szCs w:val="20"/>
              </w:rPr>
            </w:pPr>
            <w:r>
              <w:rPr>
                <w:rFonts w:ascii="Times New Roman" w:eastAsia="Batang" w:hAnsi="Times New Roman" w:cs="Times New Roman Bold"/>
                <w:b/>
                <w:sz w:val="20"/>
                <w:szCs w:val="20"/>
              </w:rPr>
              <w:t>Parameter</w:t>
            </w:r>
          </w:p>
        </w:tc>
        <w:tc>
          <w:tcPr>
            <w:tcW w:w="498" w:type="pct"/>
          </w:tcPr>
          <w:p w14:paraId="10921EF8" w14:textId="77777777" w:rsidR="00277678" w:rsidRDefault="00793126">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w:eastAsia="Batang" w:hAnsi="Times New Roman" w:cs="Times New Roman Bold"/>
                <w:b/>
                <w:sz w:val="20"/>
                <w:szCs w:val="20"/>
              </w:rPr>
            </w:pPr>
            <w:r>
              <w:rPr>
                <w:rFonts w:ascii="Times New Roman" w:eastAsia="Batang" w:hAnsi="Times New Roman" w:cs="Times New Roman Bold"/>
                <w:b/>
                <w:sz w:val="20"/>
                <w:szCs w:val="20"/>
              </w:rPr>
              <w:t>Number of bits</w:t>
            </w:r>
          </w:p>
        </w:tc>
        <w:tc>
          <w:tcPr>
            <w:tcW w:w="3211" w:type="pct"/>
          </w:tcPr>
          <w:p w14:paraId="10921EF9" w14:textId="77777777" w:rsidR="00277678" w:rsidRDefault="00793126">
            <w:pPr>
              <w:keepNext/>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w:eastAsia="Batang" w:hAnsi="Times New Roman" w:cs="Times New Roman Bold"/>
                <w:b/>
                <w:sz w:val="20"/>
                <w:szCs w:val="20"/>
              </w:rPr>
            </w:pPr>
            <w:r>
              <w:rPr>
                <w:rFonts w:ascii="Times New Roman" w:eastAsia="Batang" w:hAnsi="Times New Roman" w:cs="Times New Roman Bold"/>
                <w:b/>
                <w:sz w:val="20"/>
                <w:szCs w:val="20"/>
              </w:rPr>
              <w:t>Description</w:t>
            </w:r>
          </w:p>
        </w:tc>
      </w:tr>
      <w:tr w:rsidR="00277678" w14:paraId="10921EFF" w14:textId="77777777">
        <w:trPr>
          <w:cantSplit/>
        </w:trPr>
        <w:tc>
          <w:tcPr>
            <w:tcW w:w="560" w:type="pct"/>
            <w:vMerge w:val="restart"/>
          </w:tcPr>
          <w:p w14:paraId="10921EFB" w14:textId="77777777" w:rsidR="00277678" w:rsidRDefault="0027767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p>
        </w:tc>
        <w:tc>
          <w:tcPr>
            <w:tcW w:w="731" w:type="pct"/>
          </w:tcPr>
          <w:p w14:paraId="10921EFC"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Message ID</w:t>
            </w:r>
          </w:p>
        </w:tc>
        <w:tc>
          <w:tcPr>
            <w:tcW w:w="498" w:type="pct"/>
          </w:tcPr>
          <w:p w14:paraId="10921EFD"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4</w:t>
            </w:r>
          </w:p>
        </w:tc>
        <w:tc>
          <w:tcPr>
            <w:tcW w:w="3211" w:type="pct"/>
          </w:tcPr>
          <w:p w14:paraId="10921EFE"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7 – ASM Data link management.</w:t>
            </w:r>
          </w:p>
        </w:tc>
      </w:tr>
      <w:tr w:rsidR="00277678" w14:paraId="10921F04" w14:textId="77777777">
        <w:trPr>
          <w:cantSplit/>
        </w:trPr>
        <w:tc>
          <w:tcPr>
            <w:tcW w:w="560" w:type="pct"/>
            <w:vMerge/>
          </w:tcPr>
          <w:p w14:paraId="10921F00" w14:textId="77777777" w:rsidR="00277678" w:rsidRDefault="0027767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p>
        </w:tc>
        <w:tc>
          <w:tcPr>
            <w:tcW w:w="731" w:type="pct"/>
          </w:tcPr>
          <w:p w14:paraId="10921F01"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Retransmit flag</w:t>
            </w:r>
          </w:p>
        </w:tc>
        <w:tc>
          <w:tcPr>
            <w:tcW w:w="498" w:type="pct"/>
          </w:tcPr>
          <w:p w14:paraId="10921F02"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1</w:t>
            </w:r>
          </w:p>
        </w:tc>
        <w:tc>
          <w:tcPr>
            <w:tcW w:w="3211" w:type="pct"/>
          </w:tcPr>
          <w:p w14:paraId="10921F03"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0 (reserved for future use).</w:t>
            </w:r>
          </w:p>
        </w:tc>
      </w:tr>
      <w:tr w:rsidR="00277678" w14:paraId="10921F09" w14:textId="77777777">
        <w:trPr>
          <w:cantSplit/>
        </w:trPr>
        <w:tc>
          <w:tcPr>
            <w:tcW w:w="560" w:type="pct"/>
            <w:vMerge/>
          </w:tcPr>
          <w:p w14:paraId="10921F05" w14:textId="77777777" w:rsidR="00277678" w:rsidRDefault="0027767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p>
        </w:tc>
        <w:tc>
          <w:tcPr>
            <w:tcW w:w="731" w:type="pct"/>
          </w:tcPr>
          <w:p w14:paraId="10921F06"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Repeat indicator</w:t>
            </w:r>
          </w:p>
        </w:tc>
        <w:tc>
          <w:tcPr>
            <w:tcW w:w="498" w:type="pct"/>
          </w:tcPr>
          <w:p w14:paraId="10921F07"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2</w:t>
            </w:r>
          </w:p>
        </w:tc>
        <w:tc>
          <w:tcPr>
            <w:tcW w:w="3211" w:type="pct"/>
          </w:tcPr>
          <w:p w14:paraId="10921F08"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Used by the repeater to indicate how many times a message has been repeated.</w:t>
            </w:r>
            <w:r>
              <w:rPr>
                <w:rFonts w:ascii="Times New Roman" w:eastAsia="Batang" w:hAnsi="Times New Roman" w:cs="Times New Roman"/>
                <w:sz w:val="20"/>
                <w:szCs w:val="20"/>
              </w:rPr>
              <w:br/>
              <w:t>0 – 3; 0 = default; 3 = do not repeat any more.</w:t>
            </w:r>
          </w:p>
        </w:tc>
      </w:tr>
      <w:tr w:rsidR="00277678" w14:paraId="10921F0E" w14:textId="77777777">
        <w:trPr>
          <w:cantSplit/>
        </w:trPr>
        <w:tc>
          <w:tcPr>
            <w:tcW w:w="560" w:type="pct"/>
            <w:vMerge/>
          </w:tcPr>
          <w:p w14:paraId="10921F0A" w14:textId="77777777" w:rsidR="00277678" w:rsidRDefault="0027767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p>
        </w:tc>
        <w:tc>
          <w:tcPr>
            <w:tcW w:w="731" w:type="pct"/>
          </w:tcPr>
          <w:p w14:paraId="10921F0B"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Session ID</w:t>
            </w:r>
          </w:p>
        </w:tc>
        <w:tc>
          <w:tcPr>
            <w:tcW w:w="498" w:type="pct"/>
          </w:tcPr>
          <w:p w14:paraId="10921F0C"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6</w:t>
            </w:r>
          </w:p>
        </w:tc>
        <w:tc>
          <w:tcPr>
            <w:tcW w:w="3211" w:type="pct"/>
          </w:tcPr>
          <w:p w14:paraId="10921F0D"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 xml:space="preserve">The Session ID associates the VDL transmission with a specific PI transaction. </w:t>
            </w:r>
          </w:p>
        </w:tc>
      </w:tr>
      <w:tr w:rsidR="00277678" w14:paraId="10921F13" w14:textId="77777777">
        <w:trPr>
          <w:cantSplit/>
        </w:trPr>
        <w:tc>
          <w:tcPr>
            <w:tcW w:w="560" w:type="pct"/>
            <w:vMerge/>
          </w:tcPr>
          <w:p w14:paraId="10921F0F" w14:textId="77777777" w:rsidR="00277678" w:rsidRDefault="0027767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p>
        </w:tc>
        <w:tc>
          <w:tcPr>
            <w:tcW w:w="731" w:type="pct"/>
          </w:tcPr>
          <w:p w14:paraId="10921F10"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Source ID</w:t>
            </w:r>
          </w:p>
        </w:tc>
        <w:tc>
          <w:tcPr>
            <w:tcW w:w="498" w:type="pct"/>
          </w:tcPr>
          <w:p w14:paraId="10921F11"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32</w:t>
            </w:r>
          </w:p>
        </w:tc>
        <w:tc>
          <w:tcPr>
            <w:tcW w:w="3211" w:type="pct"/>
          </w:tcPr>
          <w:p w14:paraId="10921F12"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The Unique Identifier of the transmitting station as described in § 2.4, Annex 1.</w:t>
            </w:r>
          </w:p>
        </w:tc>
      </w:tr>
      <w:tr w:rsidR="00277678" w14:paraId="10921F18" w14:textId="77777777">
        <w:trPr>
          <w:cantSplit/>
        </w:trPr>
        <w:tc>
          <w:tcPr>
            <w:tcW w:w="560" w:type="pct"/>
            <w:vMerge w:val="restart"/>
          </w:tcPr>
          <w:p w14:paraId="10921F14"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Reservation Block 1</w:t>
            </w:r>
          </w:p>
        </w:tc>
        <w:tc>
          <w:tcPr>
            <w:tcW w:w="731" w:type="pct"/>
          </w:tcPr>
          <w:p w14:paraId="10921F15"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Channel selection</w:t>
            </w:r>
          </w:p>
        </w:tc>
        <w:tc>
          <w:tcPr>
            <w:tcW w:w="498" w:type="pct"/>
          </w:tcPr>
          <w:p w14:paraId="10921F16"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2</w:t>
            </w:r>
          </w:p>
        </w:tc>
        <w:tc>
          <w:tcPr>
            <w:tcW w:w="3211" w:type="pct"/>
          </w:tcPr>
          <w:p w14:paraId="10921F17"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0 = ASM1; 1 = ASM2; 2 = ASM1 and ASM2; 3 = no reservation.</w:t>
            </w:r>
          </w:p>
        </w:tc>
      </w:tr>
      <w:tr w:rsidR="00277678" w14:paraId="10921F1D" w14:textId="77777777">
        <w:trPr>
          <w:cantSplit/>
        </w:trPr>
        <w:tc>
          <w:tcPr>
            <w:tcW w:w="560" w:type="pct"/>
            <w:vMerge/>
          </w:tcPr>
          <w:p w14:paraId="10921F19" w14:textId="77777777" w:rsidR="00277678" w:rsidRDefault="0027767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p>
        </w:tc>
        <w:tc>
          <w:tcPr>
            <w:tcW w:w="731" w:type="pct"/>
          </w:tcPr>
          <w:p w14:paraId="10921F1A"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Offset number</w:t>
            </w:r>
          </w:p>
        </w:tc>
        <w:tc>
          <w:tcPr>
            <w:tcW w:w="498" w:type="pct"/>
          </w:tcPr>
          <w:p w14:paraId="10921F1B"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12</w:t>
            </w:r>
          </w:p>
        </w:tc>
        <w:tc>
          <w:tcPr>
            <w:tcW w:w="3211" w:type="pct"/>
          </w:tcPr>
          <w:p w14:paraId="10921F1C"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Reserved offset number.</w:t>
            </w:r>
          </w:p>
        </w:tc>
      </w:tr>
      <w:tr w:rsidR="00277678" w14:paraId="10921F22" w14:textId="77777777">
        <w:trPr>
          <w:cantSplit/>
        </w:trPr>
        <w:tc>
          <w:tcPr>
            <w:tcW w:w="560" w:type="pct"/>
            <w:vMerge/>
          </w:tcPr>
          <w:p w14:paraId="10921F1E" w14:textId="77777777" w:rsidR="00277678" w:rsidRDefault="0027767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p>
        </w:tc>
        <w:tc>
          <w:tcPr>
            <w:tcW w:w="731" w:type="pct"/>
          </w:tcPr>
          <w:p w14:paraId="10921F1F"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Number of slots</w:t>
            </w:r>
          </w:p>
        </w:tc>
        <w:tc>
          <w:tcPr>
            <w:tcW w:w="498" w:type="pct"/>
          </w:tcPr>
          <w:p w14:paraId="10921F20"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4</w:t>
            </w:r>
          </w:p>
        </w:tc>
        <w:tc>
          <w:tcPr>
            <w:tcW w:w="3211" w:type="pct"/>
          </w:tcPr>
          <w:p w14:paraId="10921F21"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Number of reserved consecutive slots: 1-15.</w:t>
            </w:r>
          </w:p>
        </w:tc>
      </w:tr>
      <w:tr w:rsidR="00277678" w14:paraId="10921F27" w14:textId="77777777">
        <w:trPr>
          <w:cantSplit/>
        </w:trPr>
        <w:tc>
          <w:tcPr>
            <w:tcW w:w="560" w:type="pct"/>
            <w:vMerge/>
          </w:tcPr>
          <w:p w14:paraId="10921F23" w14:textId="77777777" w:rsidR="00277678" w:rsidRDefault="0027767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p>
        </w:tc>
        <w:tc>
          <w:tcPr>
            <w:tcW w:w="731" w:type="pct"/>
          </w:tcPr>
          <w:p w14:paraId="10921F24"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Time-out</w:t>
            </w:r>
          </w:p>
        </w:tc>
        <w:tc>
          <w:tcPr>
            <w:tcW w:w="498" w:type="pct"/>
          </w:tcPr>
          <w:p w14:paraId="10921F25"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4</w:t>
            </w:r>
          </w:p>
        </w:tc>
        <w:tc>
          <w:tcPr>
            <w:tcW w:w="3211" w:type="pct"/>
          </w:tcPr>
          <w:p w14:paraId="10921F26"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Time-out value in minutes.</w:t>
            </w:r>
          </w:p>
        </w:tc>
      </w:tr>
      <w:tr w:rsidR="00277678" w14:paraId="10921F2E" w14:textId="77777777">
        <w:trPr>
          <w:cantSplit/>
        </w:trPr>
        <w:tc>
          <w:tcPr>
            <w:tcW w:w="560" w:type="pct"/>
            <w:vMerge/>
          </w:tcPr>
          <w:p w14:paraId="10921F28" w14:textId="77777777" w:rsidR="00277678" w:rsidRDefault="0027767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p>
        </w:tc>
        <w:tc>
          <w:tcPr>
            <w:tcW w:w="731" w:type="pct"/>
          </w:tcPr>
          <w:p w14:paraId="10921F29"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Increment</w:t>
            </w:r>
          </w:p>
        </w:tc>
        <w:tc>
          <w:tcPr>
            <w:tcW w:w="498" w:type="pct"/>
          </w:tcPr>
          <w:p w14:paraId="10921F2A"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4</w:t>
            </w:r>
          </w:p>
        </w:tc>
        <w:tc>
          <w:tcPr>
            <w:tcW w:w="3211" w:type="pct"/>
          </w:tcPr>
          <w:p w14:paraId="10921F2B"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Increment to repeat reservation block 1.</w:t>
            </w:r>
          </w:p>
          <w:p w14:paraId="10921F2C"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0 = one reservation block per frame.</w:t>
            </w:r>
          </w:p>
          <w:p w14:paraId="10921F2D"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1 = 30, 2 = 45, 3 = 50, 4 = 75, 5 = 90, 6 = 125, 7 = 150, 8 = 225, 9 = 250, 10 = 375, 11 = 450, 12 = 750, 13 = 1125, 14-15 not used.</w:t>
            </w:r>
          </w:p>
        </w:tc>
      </w:tr>
      <w:tr w:rsidR="00277678" w14:paraId="10921F33" w14:textId="77777777">
        <w:trPr>
          <w:cantSplit/>
        </w:trPr>
        <w:tc>
          <w:tcPr>
            <w:tcW w:w="560" w:type="pct"/>
            <w:vMerge w:val="restart"/>
          </w:tcPr>
          <w:p w14:paraId="10921F2F"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lastRenderedPageBreak/>
              <w:t>Reservation Block 2</w:t>
            </w:r>
          </w:p>
        </w:tc>
        <w:tc>
          <w:tcPr>
            <w:tcW w:w="731" w:type="pct"/>
          </w:tcPr>
          <w:p w14:paraId="10921F30"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Channel selection</w:t>
            </w:r>
          </w:p>
        </w:tc>
        <w:tc>
          <w:tcPr>
            <w:tcW w:w="498" w:type="pct"/>
          </w:tcPr>
          <w:p w14:paraId="10921F31"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2</w:t>
            </w:r>
          </w:p>
        </w:tc>
        <w:tc>
          <w:tcPr>
            <w:tcW w:w="3211" w:type="pct"/>
          </w:tcPr>
          <w:p w14:paraId="10921F32"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Theme="minorEastAsia" w:hAnsi="Times New Roman" w:cs="Times New Roman"/>
                <w:sz w:val="20"/>
                <w:szCs w:val="20"/>
                <w:lang w:eastAsia="zh-CN"/>
              </w:rPr>
            </w:pPr>
            <w:r>
              <w:rPr>
                <w:rFonts w:ascii="Times New Roman" w:eastAsia="Batang" w:hAnsi="Times New Roman" w:cs="Times New Roman"/>
                <w:sz w:val="20"/>
                <w:szCs w:val="20"/>
              </w:rPr>
              <w:t>0 = ASM1; 1 = ASM2; 2 = ASM1 and ASM2; 3 = no reservation.</w:t>
            </w:r>
          </w:p>
        </w:tc>
      </w:tr>
      <w:tr w:rsidR="00277678" w14:paraId="10921F38" w14:textId="77777777">
        <w:trPr>
          <w:cantSplit/>
        </w:trPr>
        <w:tc>
          <w:tcPr>
            <w:tcW w:w="560" w:type="pct"/>
            <w:vMerge/>
          </w:tcPr>
          <w:p w14:paraId="10921F34" w14:textId="77777777" w:rsidR="00277678" w:rsidRDefault="0027767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p>
        </w:tc>
        <w:tc>
          <w:tcPr>
            <w:tcW w:w="731" w:type="pct"/>
          </w:tcPr>
          <w:p w14:paraId="10921F35"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Offset number</w:t>
            </w:r>
          </w:p>
        </w:tc>
        <w:tc>
          <w:tcPr>
            <w:tcW w:w="498" w:type="pct"/>
          </w:tcPr>
          <w:p w14:paraId="10921F36"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12</w:t>
            </w:r>
          </w:p>
        </w:tc>
        <w:tc>
          <w:tcPr>
            <w:tcW w:w="3211" w:type="pct"/>
          </w:tcPr>
          <w:p w14:paraId="10921F37"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Reserved offset number.</w:t>
            </w:r>
          </w:p>
        </w:tc>
      </w:tr>
      <w:tr w:rsidR="00277678" w14:paraId="10921F3D" w14:textId="77777777">
        <w:trPr>
          <w:cantSplit/>
        </w:trPr>
        <w:tc>
          <w:tcPr>
            <w:tcW w:w="560" w:type="pct"/>
            <w:vMerge/>
          </w:tcPr>
          <w:p w14:paraId="10921F39" w14:textId="77777777" w:rsidR="00277678" w:rsidRDefault="0027767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p>
        </w:tc>
        <w:tc>
          <w:tcPr>
            <w:tcW w:w="731" w:type="pct"/>
          </w:tcPr>
          <w:p w14:paraId="10921F3A"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Number of slots</w:t>
            </w:r>
          </w:p>
        </w:tc>
        <w:tc>
          <w:tcPr>
            <w:tcW w:w="498" w:type="pct"/>
          </w:tcPr>
          <w:p w14:paraId="10921F3B"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4</w:t>
            </w:r>
          </w:p>
        </w:tc>
        <w:tc>
          <w:tcPr>
            <w:tcW w:w="3211" w:type="pct"/>
          </w:tcPr>
          <w:p w14:paraId="10921F3C"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Number of reserved consecutive slots: 1-15.</w:t>
            </w:r>
          </w:p>
        </w:tc>
      </w:tr>
      <w:tr w:rsidR="00277678" w14:paraId="10921F42" w14:textId="77777777">
        <w:trPr>
          <w:cantSplit/>
        </w:trPr>
        <w:tc>
          <w:tcPr>
            <w:tcW w:w="560" w:type="pct"/>
            <w:vMerge/>
          </w:tcPr>
          <w:p w14:paraId="10921F3E" w14:textId="77777777" w:rsidR="00277678" w:rsidRDefault="0027767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p>
        </w:tc>
        <w:tc>
          <w:tcPr>
            <w:tcW w:w="731" w:type="pct"/>
          </w:tcPr>
          <w:p w14:paraId="10921F3F"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Time-out</w:t>
            </w:r>
          </w:p>
        </w:tc>
        <w:tc>
          <w:tcPr>
            <w:tcW w:w="498" w:type="pct"/>
          </w:tcPr>
          <w:p w14:paraId="10921F40"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4</w:t>
            </w:r>
          </w:p>
        </w:tc>
        <w:tc>
          <w:tcPr>
            <w:tcW w:w="3211" w:type="pct"/>
          </w:tcPr>
          <w:p w14:paraId="10921F41"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Time-out value in minutes.</w:t>
            </w:r>
          </w:p>
        </w:tc>
      </w:tr>
      <w:tr w:rsidR="00277678" w14:paraId="10921F49" w14:textId="77777777">
        <w:trPr>
          <w:cantSplit/>
        </w:trPr>
        <w:tc>
          <w:tcPr>
            <w:tcW w:w="560" w:type="pct"/>
            <w:vMerge/>
          </w:tcPr>
          <w:p w14:paraId="10921F43" w14:textId="77777777" w:rsidR="00277678" w:rsidRDefault="0027767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p>
        </w:tc>
        <w:tc>
          <w:tcPr>
            <w:tcW w:w="731" w:type="pct"/>
          </w:tcPr>
          <w:p w14:paraId="10921F44"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Increment</w:t>
            </w:r>
          </w:p>
        </w:tc>
        <w:tc>
          <w:tcPr>
            <w:tcW w:w="498" w:type="pct"/>
          </w:tcPr>
          <w:p w14:paraId="10921F45"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4</w:t>
            </w:r>
          </w:p>
        </w:tc>
        <w:tc>
          <w:tcPr>
            <w:tcW w:w="3211" w:type="pct"/>
          </w:tcPr>
          <w:p w14:paraId="10921F46"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Increment to repeat reservation block 2.</w:t>
            </w:r>
          </w:p>
          <w:p w14:paraId="10921F47"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0 = one reservation block per frame.</w:t>
            </w:r>
          </w:p>
          <w:p w14:paraId="10921F48"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1 = 30, 2 = 45, 3 = 50, 4 = 75, 5 = 90, 6 = 125, 7 = 150, 8 = 225, 9 = 250, 10 = 375, 11 = 450, 12 = 750, 13 = 1125, 14-15 not used.</w:t>
            </w:r>
          </w:p>
        </w:tc>
      </w:tr>
      <w:tr w:rsidR="00277678" w14:paraId="10921F4E" w14:textId="77777777">
        <w:trPr>
          <w:cantSplit/>
        </w:trPr>
        <w:tc>
          <w:tcPr>
            <w:tcW w:w="560" w:type="pct"/>
            <w:vMerge w:val="restart"/>
          </w:tcPr>
          <w:p w14:paraId="10921F4A"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Reservation Block 3</w:t>
            </w:r>
          </w:p>
        </w:tc>
        <w:tc>
          <w:tcPr>
            <w:tcW w:w="731" w:type="pct"/>
          </w:tcPr>
          <w:p w14:paraId="10921F4B"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Channel selection</w:t>
            </w:r>
          </w:p>
        </w:tc>
        <w:tc>
          <w:tcPr>
            <w:tcW w:w="498" w:type="pct"/>
          </w:tcPr>
          <w:p w14:paraId="10921F4C"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2</w:t>
            </w:r>
          </w:p>
        </w:tc>
        <w:tc>
          <w:tcPr>
            <w:tcW w:w="3211" w:type="pct"/>
          </w:tcPr>
          <w:p w14:paraId="10921F4D"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0 = ASM1; 1 = ASM2; 2 = ASM1 and ASM2; 3 = no reservation.</w:t>
            </w:r>
          </w:p>
        </w:tc>
      </w:tr>
      <w:tr w:rsidR="00277678" w14:paraId="10921F53" w14:textId="77777777">
        <w:trPr>
          <w:cantSplit/>
        </w:trPr>
        <w:tc>
          <w:tcPr>
            <w:tcW w:w="560" w:type="pct"/>
            <w:vMerge/>
          </w:tcPr>
          <w:p w14:paraId="10921F4F" w14:textId="77777777" w:rsidR="00277678" w:rsidRDefault="0027767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p>
        </w:tc>
        <w:tc>
          <w:tcPr>
            <w:tcW w:w="731" w:type="pct"/>
          </w:tcPr>
          <w:p w14:paraId="10921F50"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Offset number</w:t>
            </w:r>
          </w:p>
        </w:tc>
        <w:tc>
          <w:tcPr>
            <w:tcW w:w="498" w:type="pct"/>
          </w:tcPr>
          <w:p w14:paraId="10921F51"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12</w:t>
            </w:r>
          </w:p>
        </w:tc>
        <w:tc>
          <w:tcPr>
            <w:tcW w:w="3211" w:type="pct"/>
          </w:tcPr>
          <w:p w14:paraId="10921F52"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Reserved offset number.</w:t>
            </w:r>
          </w:p>
        </w:tc>
      </w:tr>
      <w:tr w:rsidR="00277678" w14:paraId="10921F58" w14:textId="77777777">
        <w:trPr>
          <w:cantSplit/>
        </w:trPr>
        <w:tc>
          <w:tcPr>
            <w:tcW w:w="560" w:type="pct"/>
            <w:vMerge/>
          </w:tcPr>
          <w:p w14:paraId="10921F54" w14:textId="77777777" w:rsidR="00277678" w:rsidRDefault="0027767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p>
        </w:tc>
        <w:tc>
          <w:tcPr>
            <w:tcW w:w="731" w:type="pct"/>
          </w:tcPr>
          <w:p w14:paraId="10921F55"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Number of slots</w:t>
            </w:r>
          </w:p>
        </w:tc>
        <w:tc>
          <w:tcPr>
            <w:tcW w:w="498" w:type="pct"/>
          </w:tcPr>
          <w:p w14:paraId="10921F56"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4</w:t>
            </w:r>
          </w:p>
        </w:tc>
        <w:tc>
          <w:tcPr>
            <w:tcW w:w="3211" w:type="pct"/>
          </w:tcPr>
          <w:p w14:paraId="10921F57"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Number of reserved consecutive slots: 1-15.</w:t>
            </w:r>
          </w:p>
        </w:tc>
      </w:tr>
      <w:tr w:rsidR="00277678" w14:paraId="10921F5D" w14:textId="77777777">
        <w:trPr>
          <w:cantSplit/>
        </w:trPr>
        <w:tc>
          <w:tcPr>
            <w:tcW w:w="560" w:type="pct"/>
            <w:vMerge/>
          </w:tcPr>
          <w:p w14:paraId="10921F59" w14:textId="77777777" w:rsidR="00277678" w:rsidRDefault="0027767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p>
        </w:tc>
        <w:tc>
          <w:tcPr>
            <w:tcW w:w="731" w:type="pct"/>
          </w:tcPr>
          <w:p w14:paraId="10921F5A"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Time-out</w:t>
            </w:r>
          </w:p>
        </w:tc>
        <w:tc>
          <w:tcPr>
            <w:tcW w:w="498" w:type="pct"/>
          </w:tcPr>
          <w:p w14:paraId="10921F5B"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4</w:t>
            </w:r>
          </w:p>
        </w:tc>
        <w:tc>
          <w:tcPr>
            <w:tcW w:w="3211" w:type="pct"/>
          </w:tcPr>
          <w:p w14:paraId="10921F5C"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Time-out value in minutes.</w:t>
            </w:r>
          </w:p>
        </w:tc>
      </w:tr>
      <w:tr w:rsidR="00277678" w14:paraId="10921F64" w14:textId="77777777">
        <w:trPr>
          <w:cantSplit/>
        </w:trPr>
        <w:tc>
          <w:tcPr>
            <w:tcW w:w="560" w:type="pct"/>
            <w:vMerge/>
          </w:tcPr>
          <w:p w14:paraId="10921F5E" w14:textId="77777777" w:rsidR="00277678" w:rsidRDefault="0027767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p>
        </w:tc>
        <w:tc>
          <w:tcPr>
            <w:tcW w:w="731" w:type="pct"/>
          </w:tcPr>
          <w:p w14:paraId="10921F5F"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Increment</w:t>
            </w:r>
          </w:p>
        </w:tc>
        <w:tc>
          <w:tcPr>
            <w:tcW w:w="498" w:type="pct"/>
          </w:tcPr>
          <w:p w14:paraId="10921F60"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4</w:t>
            </w:r>
          </w:p>
        </w:tc>
        <w:tc>
          <w:tcPr>
            <w:tcW w:w="3211" w:type="pct"/>
          </w:tcPr>
          <w:p w14:paraId="10921F61"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Increment to repeat reservation block 3.</w:t>
            </w:r>
          </w:p>
          <w:p w14:paraId="10921F62"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0 = one reservation block per frame.</w:t>
            </w:r>
          </w:p>
          <w:p w14:paraId="10921F63"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1 = 30, 2 = 45, 3 = 50, 4 = 75, 5 = 90, 6 = 125, 7 = 150, 8 = 225, 9 = 250, 10 = 375, 11 = 450, 12 = 750, 13 = 1125, 14-15 not used.</w:t>
            </w:r>
          </w:p>
        </w:tc>
      </w:tr>
      <w:tr w:rsidR="00277678" w14:paraId="10921F69" w14:textId="77777777">
        <w:trPr>
          <w:cantSplit/>
        </w:trPr>
        <w:tc>
          <w:tcPr>
            <w:tcW w:w="560" w:type="pct"/>
            <w:vMerge w:val="restart"/>
          </w:tcPr>
          <w:p w14:paraId="10921F65"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Reservation Block 4</w:t>
            </w:r>
          </w:p>
        </w:tc>
        <w:tc>
          <w:tcPr>
            <w:tcW w:w="731" w:type="pct"/>
          </w:tcPr>
          <w:p w14:paraId="10921F66"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Channel selection</w:t>
            </w:r>
          </w:p>
        </w:tc>
        <w:tc>
          <w:tcPr>
            <w:tcW w:w="498" w:type="pct"/>
          </w:tcPr>
          <w:p w14:paraId="10921F67"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2</w:t>
            </w:r>
          </w:p>
        </w:tc>
        <w:tc>
          <w:tcPr>
            <w:tcW w:w="3211" w:type="pct"/>
          </w:tcPr>
          <w:p w14:paraId="10921F68"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0 = ASM1; 1 = ASM2; 2 = ASM1 and ASM2; 3 = no reservation.</w:t>
            </w:r>
          </w:p>
        </w:tc>
      </w:tr>
      <w:tr w:rsidR="00277678" w14:paraId="10921F6E" w14:textId="77777777">
        <w:trPr>
          <w:cantSplit/>
        </w:trPr>
        <w:tc>
          <w:tcPr>
            <w:tcW w:w="560" w:type="pct"/>
            <w:vMerge/>
          </w:tcPr>
          <w:p w14:paraId="10921F6A" w14:textId="77777777" w:rsidR="00277678" w:rsidRDefault="0027767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p>
        </w:tc>
        <w:tc>
          <w:tcPr>
            <w:tcW w:w="731" w:type="pct"/>
          </w:tcPr>
          <w:p w14:paraId="10921F6B"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Offset number</w:t>
            </w:r>
          </w:p>
        </w:tc>
        <w:tc>
          <w:tcPr>
            <w:tcW w:w="498" w:type="pct"/>
          </w:tcPr>
          <w:p w14:paraId="10921F6C"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12</w:t>
            </w:r>
          </w:p>
        </w:tc>
        <w:tc>
          <w:tcPr>
            <w:tcW w:w="3211" w:type="pct"/>
          </w:tcPr>
          <w:p w14:paraId="10921F6D"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Reserved offset number.</w:t>
            </w:r>
          </w:p>
        </w:tc>
      </w:tr>
      <w:tr w:rsidR="00277678" w14:paraId="10921F73" w14:textId="77777777">
        <w:trPr>
          <w:cantSplit/>
        </w:trPr>
        <w:tc>
          <w:tcPr>
            <w:tcW w:w="560" w:type="pct"/>
            <w:vMerge/>
          </w:tcPr>
          <w:p w14:paraId="10921F6F" w14:textId="77777777" w:rsidR="00277678" w:rsidRDefault="0027767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p>
        </w:tc>
        <w:tc>
          <w:tcPr>
            <w:tcW w:w="731" w:type="pct"/>
          </w:tcPr>
          <w:p w14:paraId="10921F70"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Number of slots</w:t>
            </w:r>
          </w:p>
        </w:tc>
        <w:tc>
          <w:tcPr>
            <w:tcW w:w="498" w:type="pct"/>
          </w:tcPr>
          <w:p w14:paraId="10921F71"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4</w:t>
            </w:r>
          </w:p>
        </w:tc>
        <w:tc>
          <w:tcPr>
            <w:tcW w:w="3211" w:type="pct"/>
          </w:tcPr>
          <w:p w14:paraId="10921F72"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Number of reserved consecutive slots: 1-15.</w:t>
            </w:r>
          </w:p>
        </w:tc>
      </w:tr>
      <w:tr w:rsidR="00277678" w14:paraId="10921F78" w14:textId="77777777">
        <w:trPr>
          <w:cantSplit/>
        </w:trPr>
        <w:tc>
          <w:tcPr>
            <w:tcW w:w="560" w:type="pct"/>
            <w:vMerge/>
          </w:tcPr>
          <w:p w14:paraId="10921F74" w14:textId="77777777" w:rsidR="00277678" w:rsidRDefault="0027767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p>
        </w:tc>
        <w:tc>
          <w:tcPr>
            <w:tcW w:w="731" w:type="pct"/>
          </w:tcPr>
          <w:p w14:paraId="10921F75"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Time-out</w:t>
            </w:r>
          </w:p>
        </w:tc>
        <w:tc>
          <w:tcPr>
            <w:tcW w:w="498" w:type="pct"/>
          </w:tcPr>
          <w:p w14:paraId="10921F76"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4</w:t>
            </w:r>
          </w:p>
        </w:tc>
        <w:tc>
          <w:tcPr>
            <w:tcW w:w="3211" w:type="pct"/>
          </w:tcPr>
          <w:p w14:paraId="10921F77"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Time-out value in minutes.</w:t>
            </w:r>
          </w:p>
        </w:tc>
      </w:tr>
      <w:tr w:rsidR="00277678" w14:paraId="10921F7F" w14:textId="77777777">
        <w:trPr>
          <w:cantSplit/>
        </w:trPr>
        <w:tc>
          <w:tcPr>
            <w:tcW w:w="560" w:type="pct"/>
            <w:vMerge/>
          </w:tcPr>
          <w:p w14:paraId="10921F79" w14:textId="77777777" w:rsidR="00277678" w:rsidRDefault="0027767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p>
        </w:tc>
        <w:tc>
          <w:tcPr>
            <w:tcW w:w="731" w:type="pct"/>
          </w:tcPr>
          <w:p w14:paraId="10921F7A"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Increment</w:t>
            </w:r>
          </w:p>
        </w:tc>
        <w:tc>
          <w:tcPr>
            <w:tcW w:w="498" w:type="pct"/>
          </w:tcPr>
          <w:p w14:paraId="10921F7B"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4</w:t>
            </w:r>
          </w:p>
        </w:tc>
        <w:tc>
          <w:tcPr>
            <w:tcW w:w="3211" w:type="pct"/>
          </w:tcPr>
          <w:p w14:paraId="10921F7C"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Increment to repeat reservation block 4.</w:t>
            </w:r>
          </w:p>
          <w:p w14:paraId="10921F7D"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0 = one reservation block per frame.</w:t>
            </w:r>
          </w:p>
          <w:p w14:paraId="10921F7E"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1 = 30, 2 = 45, 3 = 50, 4 = 75, 5 = 90, 6 = 125, 7 = 150, 8 = 225, 9 = 250, 10 = 375, 11 = 450, 12 = 750, 13 = 1125, 14-15 not used.</w:t>
            </w:r>
          </w:p>
        </w:tc>
      </w:tr>
      <w:tr w:rsidR="00277678" w14:paraId="10921F84" w14:textId="77777777">
        <w:trPr>
          <w:cantSplit/>
        </w:trPr>
        <w:tc>
          <w:tcPr>
            <w:tcW w:w="560" w:type="pct"/>
            <w:vMerge w:val="restart"/>
          </w:tcPr>
          <w:p w14:paraId="10921F80"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Reservation Block 5</w:t>
            </w:r>
          </w:p>
        </w:tc>
        <w:tc>
          <w:tcPr>
            <w:tcW w:w="731" w:type="pct"/>
          </w:tcPr>
          <w:p w14:paraId="10921F81"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Channel selection</w:t>
            </w:r>
          </w:p>
        </w:tc>
        <w:tc>
          <w:tcPr>
            <w:tcW w:w="498" w:type="pct"/>
          </w:tcPr>
          <w:p w14:paraId="10921F82"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2</w:t>
            </w:r>
          </w:p>
        </w:tc>
        <w:tc>
          <w:tcPr>
            <w:tcW w:w="3211" w:type="pct"/>
          </w:tcPr>
          <w:p w14:paraId="10921F83"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0 = ASM1; 1 = ASM2; 2 = ASM1 and ASM2; 3 = no reservation.</w:t>
            </w:r>
          </w:p>
        </w:tc>
      </w:tr>
      <w:tr w:rsidR="00277678" w14:paraId="10921F89" w14:textId="77777777">
        <w:trPr>
          <w:cantSplit/>
        </w:trPr>
        <w:tc>
          <w:tcPr>
            <w:tcW w:w="560" w:type="pct"/>
            <w:vMerge/>
          </w:tcPr>
          <w:p w14:paraId="10921F85" w14:textId="77777777" w:rsidR="00277678" w:rsidRDefault="0027767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p>
        </w:tc>
        <w:tc>
          <w:tcPr>
            <w:tcW w:w="731" w:type="pct"/>
          </w:tcPr>
          <w:p w14:paraId="10921F86"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Offset number</w:t>
            </w:r>
          </w:p>
        </w:tc>
        <w:tc>
          <w:tcPr>
            <w:tcW w:w="498" w:type="pct"/>
          </w:tcPr>
          <w:p w14:paraId="10921F87"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12</w:t>
            </w:r>
          </w:p>
        </w:tc>
        <w:tc>
          <w:tcPr>
            <w:tcW w:w="3211" w:type="pct"/>
          </w:tcPr>
          <w:p w14:paraId="10921F88"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Reserved offset number.</w:t>
            </w:r>
          </w:p>
        </w:tc>
      </w:tr>
      <w:tr w:rsidR="00277678" w14:paraId="10921F8E" w14:textId="77777777">
        <w:trPr>
          <w:cantSplit/>
        </w:trPr>
        <w:tc>
          <w:tcPr>
            <w:tcW w:w="560" w:type="pct"/>
            <w:vMerge/>
          </w:tcPr>
          <w:p w14:paraId="10921F8A" w14:textId="77777777" w:rsidR="00277678" w:rsidRDefault="0027767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p>
        </w:tc>
        <w:tc>
          <w:tcPr>
            <w:tcW w:w="731" w:type="pct"/>
          </w:tcPr>
          <w:p w14:paraId="10921F8B"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Number of slots</w:t>
            </w:r>
          </w:p>
        </w:tc>
        <w:tc>
          <w:tcPr>
            <w:tcW w:w="498" w:type="pct"/>
          </w:tcPr>
          <w:p w14:paraId="10921F8C"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4</w:t>
            </w:r>
          </w:p>
        </w:tc>
        <w:tc>
          <w:tcPr>
            <w:tcW w:w="3211" w:type="pct"/>
          </w:tcPr>
          <w:p w14:paraId="10921F8D"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Number of reserved consecutive slots: 1-15.</w:t>
            </w:r>
          </w:p>
        </w:tc>
      </w:tr>
      <w:tr w:rsidR="00277678" w14:paraId="10921F93" w14:textId="77777777">
        <w:trPr>
          <w:cantSplit/>
        </w:trPr>
        <w:tc>
          <w:tcPr>
            <w:tcW w:w="560" w:type="pct"/>
            <w:vMerge/>
          </w:tcPr>
          <w:p w14:paraId="10921F8F" w14:textId="77777777" w:rsidR="00277678" w:rsidRDefault="0027767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p>
        </w:tc>
        <w:tc>
          <w:tcPr>
            <w:tcW w:w="731" w:type="pct"/>
          </w:tcPr>
          <w:p w14:paraId="10921F90"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Time-out</w:t>
            </w:r>
          </w:p>
        </w:tc>
        <w:tc>
          <w:tcPr>
            <w:tcW w:w="498" w:type="pct"/>
          </w:tcPr>
          <w:p w14:paraId="10921F91"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4</w:t>
            </w:r>
          </w:p>
        </w:tc>
        <w:tc>
          <w:tcPr>
            <w:tcW w:w="3211" w:type="pct"/>
          </w:tcPr>
          <w:p w14:paraId="10921F92"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Time-out value in minutes.</w:t>
            </w:r>
          </w:p>
        </w:tc>
      </w:tr>
      <w:tr w:rsidR="00277678" w14:paraId="10921F9A" w14:textId="77777777">
        <w:trPr>
          <w:cantSplit/>
        </w:trPr>
        <w:tc>
          <w:tcPr>
            <w:tcW w:w="560" w:type="pct"/>
            <w:vMerge/>
          </w:tcPr>
          <w:p w14:paraId="10921F94" w14:textId="77777777" w:rsidR="00277678" w:rsidRDefault="0027767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p>
        </w:tc>
        <w:tc>
          <w:tcPr>
            <w:tcW w:w="731" w:type="pct"/>
          </w:tcPr>
          <w:p w14:paraId="10921F95"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Increment</w:t>
            </w:r>
          </w:p>
        </w:tc>
        <w:tc>
          <w:tcPr>
            <w:tcW w:w="498" w:type="pct"/>
          </w:tcPr>
          <w:p w14:paraId="10921F96"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4</w:t>
            </w:r>
          </w:p>
        </w:tc>
        <w:tc>
          <w:tcPr>
            <w:tcW w:w="3211" w:type="pct"/>
          </w:tcPr>
          <w:p w14:paraId="10921F97"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Increment to repeat reservation block 5.</w:t>
            </w:r>
          </w:p>
          <w:p w14:paraId="10921F98"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0 = one reservation block per frame.</w:t>
            </w:r>
          </w:p>
          <w:p w14:paraId="10921F99"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1 = 30, 2 = 45, 3 = 50, 4 = 75, 5 = 90, 6 = 125, 7 = 150, 8 = 225, 9 = 250, 10 = 375, 11 = 450, 12 = 750, 13 = 1125, 14-15 not used.</w:t>
            </w:r>
          </w:p>
        </w:tc>
      </w:tr>
      <w:tr w:rsidR="00277678" w14:paraId="10921F9F" w14:textId="77777777">
        <w:trPr>
          <w:cantSplit/>
        </w:trPr>
        <w:tc>
          <w:tcPr>
            <w:tcW w:w="560" w:type="pct"/>
            <w:vMerge w:val="restart"/>
          </w:tcPr>
          <w:p w14:paraId="10921F9B"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Reservation Block 6</w:t>
            </w:r>
          </w:p>
        </w:tc>
        <w:tc>
          <w:tcPr>
            <w:tcW w:w="731" w:type="pct"/>
          </w:tcPr>
          <w:p w14:paraId="10921F9C"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Channel selection</w:t>
            </w:r>
          </w:p>
        </w:tc>
        <w:tc>
          <w:tcPr>
            <w:tcW w:w="498" w:type="pct"/>
          </w:tcPr>
          <w:p w14:paraId="10921F9D"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2</w:t>
            </w:r>
          </w:p>
        </w:tc>
        <w:tc>
          <w:tcPr>
            <w:tcW w:w="3211" w:type="pct"/>
          </w:tcPr>
          <w:p w14:paraId="10921F9E"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0 = ASM1; 1 = ASM2; 2 = ASM1 and ASM2; 3 = no reservation.</w:t>
            </w:r>
          </w:p>
        </w:tc>
      </w:tr>
      <w:tr w:rsidR="00277678" w14:paraId="10921FA4" w14:textId="77777777">
        <w:trPr>
          <w:cantSplit/>
        </w:trPr>
        <w:tc>
          <w:tcPr>
            <w:tcW w:w="560" w:type="pct"/>
            <w:vMerge/>
          </w:tcPr>
          <w:p w14:paraId="10921FA0" w14:textId="77777777" w:rsidR="00277678" w:rsidRDefault="0027767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p>
        </w:tc>
        <w:tc>
          <w:tcPr>
            <w:tcW w:w="731" w:type="pct"/>
          </w:tcPr>
          <w:p w14:paraId="10921FA1"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Offset number</w:t>
            </w:r>
          </w:p>
        </w:tc>
        <w:tc>
          <w:tcPr>
            <w:tcW w:w="498" w:type="pct"/>
          </w:tcPr>
          <w:p w14:paraId="10921FA2"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12</w:t>
            </w:r>
          </w:p>
        </w:tc>
        <w:tc>
          <w:tcPr>
            <w:tcW w:w="3211" w:type="pct"/>
          </w:tcPr>
          <w:p w14:paraId="10921FA3"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Reserved offset number.</w:t>
            </w:r>
          </w:p>
        </w:tc>
      </w:tr>
      <w:tr w:rsidR="00277678" w14:paraId="10921FA9" w14:textId="77777777">
        <w:trPr>
          <w:cantSplit/>
        </w:trPr>
        <w:tc>
          <w:tcPr>
            <w:tcW w:w="560" w:type="pct"/>
            <w:vMerge/>
          </w:tcPr>
          <w:p w14:paraId="10921FA5" w14:textId="77777777" w:rsidR="00277678" w:rsidRDefault="0027767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p>
        </w:tc>
        <w:tc>
          <w:tcPr>
            <w:tcW w:w="731" w:type="pct"/>
          </w:tcPr>
          <w:p w14:paraId="10921FA6"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Number of slots</w:t>
            </w:r>
          </w:p>
        </w:tc>
        <w:tc>
          <w:tcPr>
            <w:tcW w:w="498" w:type="pct"/>
          </w:tcPr>
          <w:p w14:paraId="10921FA7"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4</w:t>
            </w:r>
          </w:p>
        </w:tc>
        <w:tc>
          <w:tcPr>
            <w:tcW w:w="3211" w:type="pct"/>
          </w:tcPr>
          <w:p w14:paraId="10921FA8"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Number of reserved consecutive slots: 1-15.</w:t>
            </w:r>
          </w:p>
        </w:tc>
      </w:tr>
      <w:tr w:rsidR="00277678" w14:paraId="10921FAE" w14:textId="77777777">
        <w:trPr>
          <w:cantSplit/>
        </w:trPr>
        <w:tc>
          <w:tcPr>
            <w:tcW w:w="560" w:type="pct"/>
            <w:vMerge/>
          </w:tcPr>
          <w:p w14:paraId="10921FAA" w14:textId="77777777" w:rsidR="00277678" w:rsidRDefault="0027767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p>
        </w:tc>
        <w:tc>
          <w:tcPr>
            <w:tcW w:w="731" w:type="pct"/>
          </w:tcPr>
          <w:p w14:paraId="10921FAB"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Time-out</w:t>
            </w:r>
          </w:p>
        </w:tc>
        <w:tc>
          <w:tcPr>
            <w:tcW w:w="498" w:type="pct"/>
          </w:tcPr>
          <w:p w14:paraId="10921FAC"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4</w:t>
            </w:r>
          </w:p>
        </w:tc>
        <w:tc>
          <w:tcPr>
            <w:tcW w:w="3211" w:type="pct"/>
          </w:tcPr>
          <w:p w14:paraId="10921FAD"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Time-out value in minutes.</w:t>
            </w:r>
          </w:p>
        </w:tc>
      </w:tr>
      <w:tr w:rsidR="00277678" w14:paraId="10921FB5" w14:textId="77777777">
        <w:trPr>
          <w:cantSplit/>
        </w:trPr>
        <w:tc>
          <w:tcPr>
            <w:tcW w:w="560" w:type="pct"/>
            <w:vMerge/>
          </w:tcPr>
          <w:p w14:paraId="10921FAF" w14:textId="77777777" w:rsidR="00277678" w:rsidRDefault="0027767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p>
        </w:tc>
        <w:tc>
          <w:tcPr>
            <w:tcW w:w="731" w:type="pct"/>
          </w:tcPr>
          <w:p w14:paraId="10921FB0"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Increment</w:t>
            </w:r>
          </w:p>
        </w:tc>
        <w:tc>
          <w:tcPr>
            <w:tcW w:w="498" w:type="pct"/>
          </w:tcPr>
          <w:p w14:paraId="10921FB1"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4</w:t>
            </w:r>
          </w:p>
        </w:tc>
        <w:tc>
          <w:tcPr>
            <w:tcW w:w="3211" w:type="pct"/>
          </w:tcPr>
          <w:p w14:paraId="10921FB2"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Increment to repeat reservation block 6.</w:t>
            </w:r>
          </w:p>
          <w:p w14:paraId="10921FB3"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0 = one reservation block per frame.</w:t>
            </w:r>
          </w:p>
          <w:p w14:paraId="10921FB4"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1 = 30, 2 = 45, 3 = 50, 4 = 75, 5 = 90, 6 = 125, 7 = 150, 8 = 225, 9 = 250, 10 = 375, 11 = 450, 12 = 750, 13 = 1125, 14-15 not used.</w:t>
            </w:r>
          </w:p>
        </w:tc>
      </w:tr>
      <w:tr w:rsidR="00277678" w14:paraId="10921FBA" w14:textId="77777777">
        <w:trPr>
          <w:cantSplit/>
        </w:trPr>
        <w:tc>
          <w:tcPr>
            <w:tcW w:w="560" w:type="pct"/>
            <w:vMerge w:val="restart"/>
          </w:tcPr>
          <w:p w14:paraId="10921FB6"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Reservation Block 7</w:t>
            </w:r>
          </w:p>
        </w:tc>
        <w:tc>
          <w:tcPr>
            <w:tcW w:w="731" w:type="pct"/>
          </w:tcPr>
          <w:p w14:paraId="10921FB7"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Channel selection</w:t>
            </w:r>
          </w:p>
        </w:tc>
        <w:tc>
          <w:tcPr>
            <w:tcW w:w="498" w:type="pct"/>
          </w:tcPr>
          <w:p w14:paraId="10921FB8"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2</w:t>
            </w:r>
          </w:p>
        </w:tc>
        <w:tc>
          <w:tcPr>
            <w:tcW w:w="3211" w:type="pct"/>
          </w:tcPr>
          <w:p w14:paraId="10921FB9"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0 = ASM1; 1 = ASM2; 2 = ASM1 and ASM2; 3 = no reservation.</w:t>
            </w:r>
          </w:p>
        </w:tc>
      </w:tr>
      <w:tr w:rsidR="00277678" w14:paraId="10921FBF" w14:textId="77777777">
        <w:trPr>
          <w:cantSplit/>
        </w:trPr>
        <w:tc>
          <w:tcPr>
            <w:tcW w:w="560" w:type="pct"/>
            <w:vMerge/>
          </w:tcPr>
          <w:p w14:paraId="10921FBB" w14:textId="77777777" w:rsidR="00277678" w:rsidRDefault="0027767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p>
        </w:tc>
        <w:tc>
          <w:tcPr>
            <w:tcW w:w="731" w:type="pct"/>
          </w:tcPr>
          <w:p w14:paraId="10921FBC"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Offset number</w:t>
            </w:r>
          </w:p>
        </w:tc>
        <w:tc>
          <w:tcPr>
            <w:tcW w:w="498" w:type="pct"/>
          </w:tcPr>
          <w:p w14:paraId="10921FBD"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12</w:t>
            </w:r>
          </w:p>
        </w:tc>
        <w:tc>
          <w:tcPr>
            <w:tcW w:w="3211" w:type="pct"/>
          </w:tcPr>
          <w:p w14:paraId="10921FBE"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Reserved offset number.</w:t>
            </w:r>
          </w:p>
        </w:tc>
      </w:tr>
      <w:tr w:rsidR="00277678" w14:paraId="10921FC4" w14:textId="77777777">
        <w:trPr>
          <w:cantSplit/>
        </w:trPr>
        <w:tc>
          <w:tcPr>
            <w:tcW w:w="560" w:type="pct"/>
            <w:vMerge/>
          </w:tcPr>
          <w:p w14:paraId="10921FC0" w14:textId="77777777" w:rsidR="00277678" w:rsidRDefault="0027767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p>
        </w:tc>
        <w:tc>
          <w:tcPr>
            <w:tcW w:w="731" w:type="pct"/>
          </w:tcPr>
          <w:p w14:paraId="10921FC1"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Number of slots</w:t>
            </w:r>
          </w:p>
        </w:tc>
        <w:tc>
          <w:tcPr>
            <w:tcW w:w="498" w:type="pct"/>
          </w:tcPr>
          <w:p w14:paraId="10921FC2"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4</w:t>
            </w:r>
          </w:p>
        </w:tc>
        <w:tc>
          <w:tcPr>
            <w:tcW w:w="3211" w:type="pct"/>
          </w:tcPr>
          <w:p w14:paraId="10921FC3"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Number of reserved consecutive slots: 1-15.</w:t>
            </w:r>
          </w:p>
        </w:tc>
      </w:tr>
      <w:tr w:rsidR="00277678" w14:paraId="10921FC9" w14:textId="77777777">
        <w:trPr>
          <w:cantSplit/>
        </w:trPr>
        <w:tc>
          <w:tcPr>
            <w:tcW w:w="560" w:type="pct"/>
            <w:vMerge/>
          </w:tcPr>
          <w:p w14:paraId="10921FC5" w14:textId="77777777" w:rsidR="00277678" w:rsidRDefault="0027767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p>
        </w:tc>
        <w:tc>
          <w:tcPr>
            <w:tcW w:w="731" w:type="pct"/>
          </w:tcPr>
          <w:p w14:paraId="10921FC6"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Time-out</w:t>
            </w:r>
          </w:p>
        </w:tc>
        <w:tc>
          <w:tcPr>
            <w:tcW w:w="498" w:type="pct"/>
          </w:tcPr>
          <w:p w14:paraId="10921FC7"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4</w:t>
            </w:r>
          </w:p>
        </w:tc>
        <w:tc>
          <w:tcPr>
            <w:tcW w:w="3211" w:type="pct"/>
          </w:tcPr>
          <w:p w14:paraId="10921FC8"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Time-out value in minutes.</w:t>
            </w:r>
          </w:p>
        </w:tc>
      </w:tr>
      <w:tr w:rsidR="00277678" w14:paraId="10921FD0" w14:textId="77777777">
        <w:trPr>
          <w:cantSplit/>
        </w:trPr>
        <w:tc>
          <w:tcPr>
            <w:tcW w:w="560" w:type="pct"/>
            <w:vMerge/>
          </w:tcPr>
          <w:p w14:paraId="10921FCA" w14:textId="77777777" w:rsidR="00277678" w:rsidRDefault="0027767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p>
        </w:tc>
        <w:tc>
          <w:tcPr>
            <w:tcW w:w="731" w:type="pct"/>
          </w:tcPr>
          <w:p w14:paraId="10921FCB"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Increment</w:t>
            </w:r>
          </w:p>
        </w:tc>
        <w:tc>
          <w:tcPr>
            <w:tcW w:w="498" w:type="pct"/>
          </w:tcPr>
          <w:p w14:paraId="10921FCC"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4</w:t>
            </w:r>
          </w:p>
        </w:tc>
        <w:tc>
          <w:tcPr>
            <w:tcW w:w="3211" w:type="pct"/>
          </w:tcPr>
          <w:p w14:paraId="10921FCD"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Increment to repeat reservation block 5.</w:t>
            </w:r>
          </w:p>
          <w:p w14:paraId="10921FCE"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0 = one reservation block per frame.</w:t>
            </w:r>
          </w:p>
          <w:p w14:paraId="10921FCF"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1 = 30, 2 = 45, 3 = 50, 4 = 75, 5 = 90, 6 = 125, 7 = 150, 8 = 225, 9 = 250, 10 = 375, 11 = 450, 12 = 750, 13 = 1125, 14-15 not used.</w:t>
            </w:r>
          </w:p>
        </w:tc>
      </w:tr>
      <w:tr w:rsidR="00277678" w14:paraId="10921FD5" w14:textId="77777777">
        <w:trPr>
          <w:cantSplit/>
        </w:trPr>
        <w:tc>
          <w:tcPr>
            <w:tcW w:w="560" w:type="pct"/>
            <w:vMerge w:val="restart"/>
          </w:tcPr>
          <w:p w14:paraId="10921FD1"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Reservation Block 8</w:t>
            </w:r>
          </w:p>
        </w:tc>
        <w:tc>
          <w:tcPr>
            <w:tcW w:w="731" w:type="pct"/>
          </w:tcPr>
          <w:p w14:paraId="10921FD2"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Channel selection</w:t>
            </w:r>
          </w:p>
        </w:tc>
        <w:tc>
          <w:tcPr>
            <w:tcW w:w="498" w:type="pct"/>
          </w:tcPr>
          <w:p w14:paraId="10921FD3"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2</w:t>
            </w:r>
          </w:p>
        </w:tc>
        <w:tc>
          <w:tcPr>
            <w:tcW w:w="3211" w:type="pct"/>
          </w:tcPr>
          <w:p w14:paraId="10921FD4"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0 = ASM1; 1 = ASM2; 2 = ASM1 and ASM2; 3 = no reservation.</w:t>
            </w:r>
          </w:p>
        </w:tc>
      </w:tr>
      <w:tr w:rsidR="00277678" w14:paraId="10921FDA" w14:textId="77777777">
        <w:trPr>
          <w:cantSplit/>
        </w:trPr>
        <w:tc>
          <w:tcPr>
            <w:tcW w:w="560" w:type="pct"/>
            <w:vMerge/>
          </w:tcPr>
          <w:p w14:paraId="10921FD6" w14:textId="77777777" w:rsidR="00277678" w:rsidRDefault="0027767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p>
        </w:tc>
        <w:tc>
          <w:tcPr>
            <w:tcW w:w="731" w:type="pct"/>
          </w:tcPr>
          <w:p w14:paraId="10921FD7"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Offset number</w:t>
            </w:r>
          </w:p>
        </w:tc>
        <w:tc>
          <w:tcPr>
            <w:tcW w:w="498" w:type="pct"/>
          </w:tcPr>
          <w:p w14:paraId="10921FD8"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12</w:t>
            </w:r>
          </w:p>
        </w:tc>
        <w:tc>
          <w:tcPr>
            <w:tcW w:w="3211" w:type="pct"/>
          </w:tcPr>
          <w:p w14:paraId="10921FD9"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Reserved offset number.</w:t>
            </w:r>
          </w:p>
        </w:tc>
      </w:tr>
      <w:tr w:rsidR="00277678" w14:paraId="10921FDF" w14:textId="77777777">
        <w:trPr>
          <w:cantSplit/>
        </w:trPr>
        <w:tc>
          <w:tcPr>
            <w:tcW w:w="560" w:type="pct"/>
            <w:vMerge/>
          </w:tcPr>
          <w:p w14:paraId="10921FDB" w14:textId="77777777" w:rsidR="00277678" w:rsidRDefault="0027767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p>
        </w:tc>
        <w:tc>
          <w:tcPr>
            <w:tcW w:w="731" w:type="pct"/>
          </w:tcPr>
          <w:p w14:paraId="10921FDC"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Number of slots</w:t>
            </w:r>
          </w:p>
        </w:tc>
        <w:tc>
          <w:tcPr>
            <w:tcW w:w="498" w:type="pct"/>
          </w:tcPr>
          <w:p w14:paraId="10921FDD"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4</w:t>
            </w:r>
          </w:p>
        </w:tc>
        <w:tc>
          <w:tcPr>
            <w:tcW w:w="3211" w:type="pct"/>
          </w:tcPr>
          <w:p w14:paraId="10921FDE"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Number of reserved consecutive slots: 1-15.</w:t>
            </w:r>
          </w:p>
        </w:tc>
      </w:tr>
      <w:tr w:rsidR="00277678" w14:paraId="10921FE4" w14:textId="77777777">
        <w:trPr>
          <w:cantSplit/>
        </w:trPr>
        <w:tc>
          <w:tcPr>
            <w:tcW w:w="560" w:type="pct"/>
            <w:vMerge/>
          </w:tcPr>
          <w:p w14:paraId="10921FE0" w14:textId="77777777" w:rsidR="00277678" w:rsidRDefault="0027767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p>
        </w:tc>
        <w:tc>
          <w:tcPr>
            <w:tcW w:w="731" w:type="pct"/>
          </w:tcPr>
          <w:p w14:paraId="10921FE1"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Time-out</w:t>
            </w:r>
          </w:p>
        </w:tc>
        <w:tc>
          <w:tcPr>
            <w:tcW w:w="498" w:type="pct"/>
          </w:tcPr>
          <w:p w14:paraId="10921FE2"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4</w:t>
            </w:r>
          </w:p>
        </w:tc>
        <w:tc>
          <w:tcPr>
            <w:tcW w:w="3211" w:type="pct"/>
          </w:tcPr>
          <w:p w14:paraId="10921FE3"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Time-out value in minutes.</w:t>
            </w:r>
          </w:p>
        </w:tc>
      </w:tr>
      <w:tr w:rsidR="00277678" w14:paraId="10921FEB" w14:textId="77777777">
        <w:trPr>
          <w:cantSplit/>
        </w:trPr>
        <w:tc>
          <w:tcPr>
            <w:tcW w:w="560" w:type="pct"/>
            <w:vMerge/>
          </w:tcPr>
          <w:p w14:paraId="10921FE5" w14:textId="77777777" w:rsidR="00277678" w:rsidRDefault="0027767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p>
        </w:tc>
        <w:tc>
          <w:tcPr>
            <w:tcW w:w="731" w:type="pct"/>
          </w:tcPr>
          <w:p w14:paraId="10921FE6"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Increment</w:t>
            </w:r>
          </w:p>
        </w:tc>
        <w:tc>
          <w:tcPr>
            <w:tcW w:w="498" w:type="pct"/>
          </w:tcPr>
          <w:p w14:paraId="10921FE7"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4</w:t>
            </w:r>
          </w:p>
        </w:tc>
        <w:tc>
          <w:tcPr>
            <w:tcW w:w="3211" w:type="pct"/>
          </w:tcPr>
          <w:p w14:paraId="10921FE8"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Increment to repeat reservation block 6.</w:t>
            </w:r>
          </w:p>
          <w:p w14:paraId="10921FE9"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0 = one reservation block per frame.</w:t>
            </w:r>
          </w:p>
          <w:p w14:paraId="10921FEA"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1 = 30, 2 = 45, 3 = 50, 4 = 75, 5 = 90, 6 = 125, 7 = 150, 8 = 225, 9 = 250, 10 = 375, 11 = 450, 12 = 750, 13 = 1125, 14-15 not used.</w:t>
            </w:r>
          </w:p>
        </w:tc>
      </w:tr>
      <w:tr w:rsidR="00277678" w14:paraId="10921FF1" w14:textId="77777777">
        <w:trPr>
          <w:cantSplit/>
        </w:trPr>
        <w:tc>
          <w:tcPr>
            <w:tcW w:w="560" w:type="pct"/>
          </w:tcPr>
          <w:p w14:paraId="10921FEC" w14:textId="77777777" w:rsidR="00277678" w:rsidRDefault="0027767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p>
        </w:tc>
        <w:tc>
          <w:tcPr>
            <w:tcW w:w="731" w:type="pct"/>
          </w:tcPr>
          <w:p w14:paraId="10921FED"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highlight w:val="cyan"/>
              </w:rPr>
            </w:pPr>
            <w:r>
              <w:rPr>
                <w:rFonts w:ascii="Times New Roman" w:eastAsia="Batang" w:hAnsi="Times New Roman" w:cs="Times New Roman"/>
                <w:sz w:val="20"/>
                <w:szCs w:val="20"/>
                <w:highlight w:val="cyan"/>
                <w:lang w:eastAsia="ja-JP"/>
              </w:rPr>
              <w:t xml:space="preserve">Transmission control for </w:t>
            </w:r>
            <w:r>
              <w:rPr>
                <w:rFonts w:ascii="Times New Roman" w:eastAsia="Batang" w:hAnsi="Times New Roman" w:cs="Times New Roman"/>
                <w:sz w:val="20"/>
                <w:szCs w:val="20"/>
                <w:highlight w:val="cyan"/>
              </w:rPr>
              <w:t>ASM-SAT</w:t>
            </w:r>
          </w:p>
        </w:tc>
        <w:tc>
          <w:tcPr>
            <w:tcW w:w="498" w:type="pct"/>
          </w:tcPr>
          <w:p w14:paraId="10921FEE"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eastAsia="SimSun" w:hAnsi="Times New Roman" w:cs="Times New Roman"/>
                <w:sz w:val="20"/>
                <w:szCs w:val="20"/>
                <w:highlight w:val="cyan"/>
                <w:lang w:eastAsia="zh-CN"/>
              </w:rPr>
            </w:pPr>
            <w:r>
              <w:rPr>
                <w:rFonts w:ascii="Times New Roman" w:eastAsia="SimSun" w:hAnsi="Times New Roman" w:cs="Times New Roman"/>
                <w:sz w:val="20"/>
                <w:szCs w:val="20"/>
                <w:highlight w:val="cyan"/>
                <w:lang w:eastAsia="zh-CN"/>
              </w:rPr>
              <w:t>1</w:t>
            </w:r>
          </w:p>
        </w:tc>
        <w:tc>
          <w:tcPr>
            <w:tcW w:w="3211" w:type="pct"/>
          </w:tcPr>
          <w:p w14:paraId="10921FEF"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highlight w:val="cyan"/>
              </w:rPr>
            </w:pPr>
            <w:r>
              <w:rPr>
                <w:rFonts w:ascii="Times New Roman" w:eastAsia="Batang" w:hAnsi="Times New Roman" w:cs="Times New Roman"/>
                <w:sz w:val="20"/>
                <w:szCs w:val="20"/>
                <w:highlight w:val="cyan"/>
              </w:rPr>
              <w:t>0 = default –Allow Mobile station to transmit messages via ASM-SAT within an ASM shore station coverage area.</w:t>
            </w:r>
          </w:p>
          <w:p w14:paraId="10921FF0"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highlight w:val="cyan"/>
              </w:rPr>
            </w:pPr>
            <w:r>
              <w:rPr>
                <w:rFonts w:ascii="Times New Roman" w:eastAsia="Batang" w:hAnsi="Times New Roman" w:cs="Times New Roman"/>
                <w:sz w:val="20"/>
                <w:szCs w:val="20"/>
                <w:highlight w:val="cyan"/>
              </w:rPr>
              <w:t>1 = Mobile station stops transmission via ASM-SAT of within an ASM shore station coverage area.</w:t>
            </w:r>
          </w:p>
        </w:tc>
      </w:tr>
      <w:tr w:rsidR="00277678" w14:paraId="10921FF6" w14:textId="77777777">
        <w:trPr>
          <w:cantSplit/>
        </w:trPr>
        <w:tc>
          <w:tcPr>
            <w:tcW w:w="560" w:type="pct"/>
          </w:tcPr>
          <w:p w14:paraId="10921FF2" w14:textId="77777777" w:rsidR="00277678" w:rsidRDefault="0027767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p>
        </w:tc>
        <w:tc>
          <w:tcPr>
            <w:tcW w:w="731" w:type="pct"/>
          </w:tcPr>
          <w:p w14:paraId="10921FF3"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Spare</w:t>
            </w:r>
          </w:p>
        </w:tc>
        <w:tc>
          <w:tcPr>
            <w:tcW w:w="498" w:type="pct"/>
          </w:tcPr>
          <w:p w14:paraId="10921FF4"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eastAsia="Batang" w:hAnsi="Times New Roman" w:cs="Times New Roman"/>
                <w:sz w:val="20"/>
                <w:szCs w:val="20"/>
              </w:rPr>
            </w:pPr>
            <w:r>
              <w:rPr>
                <w:rFonts w:ascii="Times New Roman" w:eastAsia="SimSun" w:hAnsi="Times New Roman" w:cs="Times New Roman" w:hint="eastAsia"/>
                <w:strike/>
                <w:sz w:val="20"/>
                <w:szCs w:val="20"/>
                <w:highlight w:val="cyan"/>
                <w:lang w:eastAsia="zh-CN"/>
              </w:rPr>
              <w:t>3</w:t>
            </w:r>
            <w:r>
              <w:rPr>
                <w:rFonts w:ascii="Times New Roman" w:eastAsia="Batang" w:hAnsi="Times New Roman" w:cs="Times New Roman"/>
                <w:sz w:val="20"/>
                <w:szCs w:val="20"/>
                <w:highlight w:val="cyan"/>
              </w:rPr>
              <w:t>2</w:t>
            </w:r>
          </w:p>
        </w:tc>
        <w:tc>
          <w:tcPr>
            <w:tcW w:w="3211" w:type="pct"/>
          </w:tcPr>
          <w:p w14:paraId="10921FF5" w14:textId="77777777" w:rsidR="00277678" w:rsidRDefault="007931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Spare bits – reserved for the future.</w:t>
            </w:r>
          </w:p>
        </w:tc>
      </w:tr>
    </w:tbl>
    <w:p w14:paraId="10921FF7" w14:textId="77777777" w:rsidR="00277678" w:rsidRDefault="00277678"/>
    <w:p w14:paraId="10921FF8" w14:textId="77777777" w:rsidR="00277678" w:rsidRDefault="00793126">
      <w:pPr>
        <w:keepNext/>
        <w:keepLines/>
        <w:tabs>
          <w:tab w:val="left" w:pos="0"/>
          <w:tab w:val="left" w:pos="567"/>
        </w:tabs>
        <w:spacing w:before="240" w:after="200" w:line="240" w:lineRule="atLeast"/>
        <w:outlineLvl w:val="0"/>
        <w:rPr>
          <w:rFonts w:ascii="Calibri" w:eastAsia="SimSun" w:hAnsi="Calibri" w:cstheme="majorBidi"/>
          <w:b/>
          <w:bCs/>
          <w:caps/>
          <w:color w:val="00558C"/>
          <w:sz w:val="30"/>
          <w:szCs w:val="30"/>
          <w:lang w:eastAsia="zh-CN"/>
        </w:rPr>
      </w:pPr>
      <w:r>
        <w:rPr>
          <w:rFonts w:ascii="Calibri" w:eastAsiaTheme="majorEastAsia" w:hAnsi="Calibri" w:cstheme="majorBidi"/>
          <w:b/>
          <w:bCs/>
          <w:caps/>
          <w:color w:val="00558C"/>
          <w:sz w:val="30"/>
          <w:szCs w:val="30"/>
        </w:rPr>
        <w:t>C</w:t>
      </w:r>
      <w:r>
        <w:rPr>
          <w:rFonts w:ascii="Calibri" w:eastAsiaTheme="majorEastAsia" w:hAnsi="Calibri" w:cstheme="majorBidi"/>
          <w:b/>
          <w:bCs/>
          <w:caps/>
          <w:color w:val="00558C"/>
          <w:sz w:val="30"/>
          <w:szCs w:val="30"/>
          <w:lang w:eastAsia="ja-JP"/>
        </w:rPr>
        <w:t>hina</w:t>
      </w:r>
      <w:r>
        <w:rPr>
          <w:rFonts w:ascii="Calibri" w:eastAsiaTheme="majorEastAsia" w:hAnsi="Calibri" w:cstheme="majorBidi"/>
          <w:b/>
          <w:bCs/>
          <w:caps/>
          <w:color w:val="00558C"/>
          <w:sz w:val="30"/>
          <w:szCs w:val="30"/>
        </w:rPr>
        <w:t xml:space="preserve"> MSA-</w:t>
      </w:r>
      <w:r>
        <w:rPr>
          <w:rFonts w:ascii="Calibri" w:eastAsia="SimSun" w:hAnsi="Calibri" w:cstheme="majorBidi" w:hint="eastAsia"/>
          <w:b/>
          <w:bCs/>
          <w:caps/>
          <w:color w:val="00558C"/>
          <w:sz w:val="30"/>
          <w:szCs w:val="30"/>
          <w:lang w:eastAsia="zh-CN"/>
        </w:rPr>
        <w:t>2</w:t>
      </w:r>
    </w:p>
    <w:p w14:paraId="10921FF9" w14:textId="77777777" w:rsidR="00277678" w:rsidRDefault="00793126">
      <w:pPr>
        <w:keepNext/>
        <w:keepLines/>
        <w:tabs>
          <w:tab w:val="left" w:pos="0"/>
        </w:tabs>
        <w:spacing w:before="120" w:after="120" w:line="240" w:lineRule="atLeast"/>
        <w:ind w:left="992" w:right="851" w:hanging="992"/>
        <w:outlineLvl w:val="2"/>
        <w:rPr>
          <w:rFonts w:ascii="Times New Roman" w:eastAsia="Calibri" w:hAnsi="Times New Roman" w:cs="Times New Roman"/>
          <w:b/>
          <w:bCs/>
          <w:smallCaps/>
          <w:color w:val="00558C"/>
          <w:sz w:val="24"/>
          <w:szCs w:val="20"/>
          <w:lang w:eastAsia="de-DE"/>
        </w:rPr>
      </w:pPr>
      <w:r>
        <w:rPr>
          <w:rFonts w:ascii="Calibri" w:eastAsia="Calibri" w:hAnsi="Calibri" w:cstheme="majorBidi" w:hint="eastAsia"/>
          <w:b/>
          <w:bCs/>
          <w:caps/>
          <w:smallCaps/>
          <w:color w:val="00558C"/>
          <w:sz w:val="24"/>
          <w:szCs w:val="24"/>
          <w:lang w:eastAsia="de-DE"/>
        </w:rPr>
        <w:t>2</w:t>
      </w:r>
      <w:r>
        <w:rPr>
          <w:rFonts w:ascii="Calibri" w:eastAsia="Calibri" w:hAnsi="Calibri" w:cstheme="majorBidi" w:hint="eastAsia"/>
          <w:b/>
          <w:bCs/>
          <w:caps/>
          <w:smallCaps/>
          <w:color w:val="00558C"/>
          <w:sz w:val="24"/>
          <w:szCs w:val="24"/>
          <w:lang w:eastAsia="de-DE"/>
        </w:rPr>
        <w:tab/>
        <w:t>VHF data exchange system resource sharing principles</w:t>
      </w:r>
    </w:p>
    <w:p w14:paraId="10921FFA" w14:textId="77777777" w:rsidR="00277678" w:rsidRDefault="00793126">
      <w:pPr>
        <w:keepNext/>
        <w:keepLines/>
        <w:overflowPunct w:val="0"/>
        <w:autoSpaceDE w:val="0"/>
        <w:autoSpaceDN w:val="0"/>
        <w:adjustRightInd w:val="0"/>
        <w:spacing w:before="200"/>
        <w:ind w:left="1134" w:hanging="1134"/>
        <w:textAlignment w:val="baseline"/>
        <w:outlineLvl w:val="1"/>
        <w:rPr>
          <w:rFonts w:ascii="Times New Roman" w:eastAsia="Calibri" w:hAnsi="Times New Roman" w:cs="Times New Roman"/>
          <w:b/>
          <w:sz w:val="24"/>
          <w:lang w:eastAsia="ja-JP"/>
        </w:rPr>
      </w:pPr>
      <w:r>
        <w:rPr>
          <w:rFonts w:ascii="Times New Roman" w:eastAsia="Calibri" w:hAnsi="Times New Roman" w:cs="Times New Roman"/>
          <w:b/>
          <w:sz w:val="24"/>
          <w:lang w:eastAsia="ja-JP"/>
        </w:rPr>
        <w:t>2.1</w:t>
      </w:r>
      <w:r>
        <w:rPr>
          <w:rFonts w:ascii="Times New Roman" w:eastAsia="Calibri" w:hAnsi="Times New Roman" w:cs="Times New Roman"/>
          <w:b/>
          <w:sz w:val="24"/>
          <w:lang w:eastAsia="ja-JP"/>
        </w:rPr>
        <w:tab/>
        <w:t>Automatic identification system priority</w:t>
      </w:r>
    </w:p>
    <w:p w14:paraId="10921FFB" w14:textId="77777777" w:rsidR="00277678" w:rsidRDefault="00793126">
      <w:pPr>
        <w:tabs>
          <w:tab w:val="left" w:pos="1134"/>
          <w:tab w:val="left" w:pos="1871"/>
          <w:tab w:val="left" w:pos="2268"/>
        </w:tabs>
        <w:overflowPunct w:val="0"/>
        <w:autoSpaceDE w:val="0"/>
        <w:autoSpaceDN w:val="0"/>
        <w:adjustRightInd w:val="0"/>
        <w:spacing w:before="120" w:line="240" w:lineRule="auto"/>
        <w:textAlignment w:val="baseline"/>
        <w:rPr>
          <w:rFonts w:ascii="Times New Roman" w:eastAsia="Times New Roman" w:hAnsi="Times New Roman" w:cs="Times New Roman"/>
          <w:strike/>
          <w:sz w:val="24"/>
          <w:szCs w:val="20"/>
          <w:highlight w:val="cyan"/>
          <w:lang w:eastAsia="ja-JP"/>
        </w:rPr>
      </w:pPr>
      <w:r>
        <w:rPr>
          <w:rFonts w:ascii="Times New Roman" w:eastAsia="Times New Roman" w:hAnsi="Times New Roman" w:cs="Times New Roman"/>
          <w:strike/>
          <w:sz w:val="24"/>
          <w:szCs w:val="20"/>
          <w:highlight w:val="cyan"/>
          <w:lang w:eastAsia="ja-JP"/>
        </w:rPr>
        <w:t>Care should be taken to respect the AIS transmission and reception as the highest priority.</w:t>
      </w:r>
    </w:p>
    <w:p w14:paraId="10921FFC" w14:textId="77777777" w:rsidR="00277678" w:rsidRDefault="00793126">
      <w:pPr>
        <w:tabs>
          <w:tab w:val="left" w:pos="1134"/>
          <w:tab w:val="left" w:pos="1871"/>
          <w:tab w:val="left" w:pos="2268"/>
        </w:tabs>
        <w:overflowPunct w:val="0"/>
        <w:autoSpaceDE w:val="0"/>
        <w:autoSpaceDN w:val="0"/>
        <w:adjustRightInd w:val="0"/>
        <w:spacing w:before="120" w:line="240" w:lineRule="auto"/>
        <w:textAlignment w:val="baseline"/>
        <w:rPr>
          <w:rFonts w:ascii="Times New Roman" w:eastAsia="Times New Roman" w:hAnsi="Times New Roman" w:cs="Times New Roman"/>
          <w:sz w:val="24"/>
          <w:szCs w:val="20"/>
          <w:lang w:val="en-US" w:eastAsia="zh-CN"/>
        </w:rPr>
      </w:pPr>
      <w:r>
        <w:rPr>
          <w:rFonts w:ascii="Times New Roman" w:eastAsia="Times New Roman" w:hAnsi="Times New Roman" w:cs="Times New Roman" w:hint="eastAsia"/>
          <w:sz w:val="24"/>
          <w:szCs w:val="20"/>
          <w:highlight w:val="cyan"/>
          <w:lang w:val="en-US" w:eastAsia="zh-CN"/>
        </w:rPr>
        <w:lastRenderedPageBreak/>
        <w:t>Care should be taken to respect the AIS transmission and reception as the highest priority. However, to ensure the successful reception of VDE-SAT downlink long burst transmissions, if no other ships are detected within a range of 1 nautical mile, the ship station may advance or delay the AIS transmission that conflict with the VDE-SAT downlink. If the slot shifted (advance or delay) is less than 0.5 seconds from the adjacent AIS transmission slot, the transmission should be cancelled. Within the same DC, AIS transmissions should be cancelled no more than once</w:t>
      </w:r>
      <w:r>
        <w:rPr>
          <w:rFonts w:ascii="Times New Roman" w:eastAsia="Times New Roman" w:hAnsi="Times New Roman" w:cs="Times New Roman"/>
          <w:sz w:val="24"/>
          <w:szCs w:val="20"/>
          <w:highlight w:val="cyan"/>
          <w:lang w:val="en-US" w:eastAsia="zh-CN"/>
        </w:rPr>
        <w:t>.</w:t>
      </w:r>
    </w:p>
    <w:p w14:paraId="10921FFD" w14:textId="77777777" w:rsidR="00277678" w:rsidRDefault="00277678">
      <w:pPr>
        <w:tabs>
          <w:tab w:val="left" w:pos="1134"/>
          <w:tab w:val="left" w:pos="1871"/>
          <w:tab w:val="left" w:pos="2268"/>
        </w:tabs>
        <w:spacing w:after="160"/>
        <w:rPr>
          <w:rFonts w:eastAsia="SimSun"/>
          <w:lang w:val="en-US" w:eastAsia="zh-CN"/>
        </w:rPr>
      </w:pPr>
    </w:p>
    <w:p w14:paraId="10921FFE" w14:textId="77777777" w:rsidR="00277678" w:rsidRDefault="00277678" w:rsidP="002D681E">
      <w:pPr>
        <w:spacing w:line="240" w:lineRule="auto"/>
        <w:rPr>
          <w:rFonts w:eastAsia="SimSun"/>
          <w:sz w:val="22"/>
          <w:lang w:val="en-US" w:eastAsia="zh-CN"/>
        </w:rPr>
      </w:pPr>
    </w:p>
    <w:sectPr w:rsidR="00277678" w:rsidSect="002D681E">
      <w:headerReference w:type="default" r:id="rId15"/>
      <w:footerReference w:type="default" r:id="rId16"/>
      <w:pgSz w:w="11906" w:h="16838"/>
      <w:pgMar w:top="2098" w:right="1474" w:bottom="1984" w:left="158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82D2C" w14:textId="77777777" w:rsidR="00502227" w:rsidRDefault="00502227">
      <w:pPr>
        <w:spacing w:line="240" w:lineRule="auto"/>
      </w:pPr>
      <w:r>
        <w:separator/>
      </w:r>
    </w:p>
  </w:endnote>
  <w:endnote w:type="continuationSeparator" w:id="0">
    <w:p w14:paraId="1838F141" w14:textId="77777777" w:rsidR="00502227" w:rsidRDefault="0050222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alibri (Body)">
    <w:altName w:val="Calibri"/>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rlow Medium">
    <w:charset w:val="00"/>
    <w:family w:val="auto"/>
    <w:pitch w:val="variable"/>
    <w:sig w:usb0="20000007" w:usb1="00000000" w:usb2="00000000" w:usb3="00000000" w:csb0="00000193" w:csb1="00000000"/>
  </w:font>
  <w:font w:name="Times New Roman Bold">
    <w:altName w:val="Times New Roman"/>
    <w:panose1 w:val="02020803070505020304"/>
    <w:charset w:val="00"/>
    <w:family w:val="roman"/>
    <w:pitch w:val="default"/>
    <w:sig w:usb0="00000000" w:usb1="00000000" w:usb2="00000000" w:usb3="00000000" w:csb0="000000FF" w:csb1="00000000"/>
  </w:font>
  <w:font w:name="Segoe UI Symbol">
    <w:panose1 w:val="020B0502040204020203"/>
    <w:charset w:val="00"/>
    <w:family w:val="swiss"/>
    <w:pitch w:val="variable"/>
    <w:sig w:usb0="800001E3" w:usb1="1200FFEF" w:usb2="0004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22004" w14:textId="77777777" w:rsidR="00277678" w:rsidRDefault="00793126">
    <w:pPr>
      <w:pStyle w:val="Footerportrait"/>
    </w:pPr>
    <w:r>
      <w:t>Proposed Revision to Recommendation ITU-R M.2092</w:t>
    </w:r>
    <w:r>
      <w:tab/>
      <w:t xml:space="preserve">P </w:t>
    </w:r>
    <w:r>
      <w:rPr>
        <w:rStyle w:val="PageNumber"/>
        <w:szCs w:val="15"/>
      </w:rPr>
      <w:fldChar w:fldCharType="begin"/>
    </w:r>
    <w:r>
      <w:rPr>
        <w:rStyle w:val="PageNumber"/>
        <w:szCs w:val="15"/>
      </w:rPr>
      <w:instrText xml:space="preserve">PAGE  </w:instrText>
    </w:r>
    <w:r>
      <w:rPr>
        <w:rStyle w:val="PageNumber"/>
        <w:szCs w:val="15"/>
      </w:rPr>
      <w:fldChar w:fldCharType="separate"/>
    </w:r>
    <w:r w:rsidR="00EE6E67">
      <w:rPr>
        <w:rStyle w:val="PageNumber"/>
        <w:noProof/>
        <w:szCs w:val="15"/>
      </w:rPr>
      <w:t>3</w:t>
    </w:r>
    <w:r>
      <w:rPr>
        <w:rStyle w:val="PageNumber"/>
        <w:szCs w:val="15"/>
      </w:rPr>
      <w:fldChar w:fldCharType="end"/>
    </w:r>
  </w:p>
  <w:p w14:paraId="10922005" w14:textId="77777777" w:rsidR="00277678" w:rsidRDefault="00277678">
    <w:pPr>
      <w:pStyle w:val="Footer"/>
      <w:rPr>
        <w:rFonts w:ascii="Calibri" w:hAnsi="Calibr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22009" w14:textId="77777777" w:rsidR="00277678" w:rsidRDefault="00793126">
    <w:pPr>
      <w:pStyle w:val="Footerportrait"/>
    </w:pPr>
    <w:r>
      <w:rPr>
        <w:rFonts w:eastAsia="SimSun"/>
        <w:lang w:eastAsia="zh-CN"/>
      </w:rPr>
      <w:t>PROPOSED REVISION TO RECOMMENDATION ITU-R M.2092</w:t>
    </w:r>
    <w:r>
      <w:tab/>
      <w:t xml:space="preserve">P </w:t>
    </w:r>
    <w:r>
      <w:rPr>
        <w:rStyle w:val="PageNumber"/>
        <w:szCs w:val="15"/>
      </w:rPr>
      <w:fldChar w:fldCharType="begin"/>
    </w:r>
    <w:r>
      <w:rPr>
        <w:rStyle w:val="PageNumber"/>
        <w:szCs w:val="15"/>
      </w:rPr>
      <w:instrText xml:space="preserve">PAGE  </w:instrText>
    </w:r>
    <w:r>
      <w:rPr>
        <w:rStyle w:val="PageNumber"/>
        <w:szCs w:val="15"/>
      </w:rPr>
      <w:fldChar w:fldCharType="separate"/>
    </w:r>
    <w:r w:rsidR="00EE6E67">
      <w:rPr>
        <w:rStyle w:val="PageNumber"/>
        <w:noProof/>
        <w:szCs w:val="15"/>
      </w:rPr>
      <w:t>1</w:t>
    </w:r>
    <w:r>
      <w:rPr>
        <w:rStyle w:val="PageNumber"/>
        <w:szCs w:val="15"/>
      </w:rPr>
      <w:fldChar w:fldCharType="end"/>
    </w:r>
  </w:p>
  <w:p w14:paraId="1092200A" w14:textId="77777777" w:rsidR="00277678" w:rsidRDefault="00277678">
    <w:pPr>
      <w:pStyle w:val="Footer"/>
    </w:pPr>
  </w:p>
  <w:p w14:paraId="1092200B" w14:textId="77777777" w:rsidR="00277678" w:rsidRDefault="00277678">
    <w:pPr>
      <w:pStyle w:val="Footer"/>
      <w:tabs>
        <w:tab w:val="left" w:pos="118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2200E" w14:textId="77777777" w:rsidR="00277678" w:rsidRDefault="00793126">
    <w:pPr>
      <w:pStyle w:val="Footerportrait"/>
    </w:pPr>
    <w:r>
      <w:tab/>
      <w:t xml:space="preserve">P </w:t>
    </w:r>
    <w:r>
      <w:rPr>
        <w:rStyle w:val="PageNumber"/>
        <w:szCs w:val="15"/>
      </w:rPr>
      <w:fldChar w:fldCharType="begin"/>
    </w:r>
    <w:r>
      <w:rPr>
        <w:rStyle w:val="PageNumber"/>
        <w:szCs w:val="15"/>
      </w:rPr>
      <w:instrText xml:space="preserve">PAGE  </w:instrText>
    </w:r>
    <w:r>
      <w:rPr>
        <w:rStyle w:val="PageNumber"/>
        <w:szCs w:val="15"/>
      </w:rPr>
      <w:fldChar w:fldCharType="separate"/>
    </w:r>
    <w:r w:rsidR="00EE6E67">
      <w:rPr>
        <w:rStyle w:val="PageNumber"/>
        <w:noProof/>
        <w:szCs w:val="15"/>
      </w:rPr>
      <w:t>4</w:t>
    </w:r>
    <w:r>
      <w:rPr>
        <w:rStyle w:val="PageNumber"/>
        <w:szCs w:val="15"/>
      </w:rPr>
      <w:fldChar w:fldCharType="end"/>
    </w:r>
  </w:p>
  <w:p w14:paraId="1092200F" w14:textId="77777777" w:rsidR="00277678" w:rsidRDefault="00277678">
    <w:pPr>
      <w:pStyle w:val="Footer"/>
      <w:rPr>
        <w:rFonts w:ascii="Calibri" w:hAnsi="Calibr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FB4AD" w14:textId="77777777" w:rsidR="00502227" w:rsidRDefault="00502227">
      <w:pPr>
        <w:spacing w:line="240" w:lineRule="auto"/>
      </w:pPr>
      <w:r>
        <w:separator/>
      </w:r>
    </w:p>
  </w:footnote>
  <w:footnote w:type="continuationSeparator" w:id="0">
    <w:p w14:paraId="0D8BE182" w14:textId="77777777" w:rsidR="00502227" w:rsidRDefault="00502227">
      <w:pPr>
        <w:spacing w:line="240" w:lineRule="auto"/>
      </w:pPr>
      <w:r>
        <w:continuationSeparator/>
      </w:r>
    </w:p>
  </w:footnote>
  <w:footnote w:id="1">
    <w:p w14:paraId="10922016" w14:textId="77777777" w:rsidR="00277678" w:rsidRDefault="002776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22003" w14:textId="77777777" w:rsidR="00277678" w:rsidRDefault="00793126">
    <w:pPr>
      <w:pStyle w:val="Header"/>
      <w:jc w:val="right"/>
    </w:pPr>
    <w:r>
      <w:rPr>
        <w:noProof/>
        <w:lang w:val="en-US" w:eastAsia="zh-CN"/>
      </w:rPr>
      <w:drawing>
        <wp:anchor distT="0" distB="0" distL="114300" distR="114300" simplePos="0" relativeHeight="251662336" behindDoc="0" locked="0" layoutInCell="1" allowOverlap="1" wp14:anchorId="10922010" wp14:editId="10922011">
          <wp:simplePos x="0" y="0"/>
          <wp:positionH relativeFrom="column">
            <wp:posOffset>6055360</wp:posOffset>
          </wp:positionH>
          <wp:positionV relativeFrom="paragraph">
            <wp:posOffset>-187325</wp:posOffset>
          </wp:positionV>
          <wp:extent cx="574675" cy="560070"/>
          <wp:effectExtent l="0" t="0" r="0" b="0"/>
          <wp:wrapSquare wrapText="bothSides"/>
          <wp:docPr id="26"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6515268" name="Picture 278"/>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22006" w14:textId="77777777" w:rsidR="00277678" w:rsidRDefault="00793126">
    <w:pPr>
      <w:pStyle w:val="Header"/>
      <w:jc w:val="center"/>
    </w:pPr>
    <w:r>
      <w:rPr>
        <w:noProof/>
        <w:lang w:val="en-US" w:eastAsia="zh-CN"/>
      </w:rPr>
      <w:drawing>
        <wp:anchor distT="0" distB="0" distL="114300" distR="114300" simplePos="0" relativeHeight="251663360" behindDoc="0" locked="0" layoutInCell="1" allowOverlap="1" wp14:anchorId="10922012" wp14:editId="10922013">
          <wp:simplePos x="0" y="0"/>
          <wp:positionH relativeFrom="column">
            <wp:posOffset>2522855</wp:posOffset>
          </wp:positionH>
          <wp:positionV relativeFrom="paragraph">
            <wp:posOffset>-100330</wp:posOffset>
          </wp:positionV>
          <wp:extent cx="852805" cy="831215"/>
          <wp:effectExtent l="0" t="0" r="0" b="0"/>
          <wp:wrapSquare wrapText="bothSides"/>
          <wp:docPr id="27"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619195" name="Picture 279"/>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p>
  <w:p w14:paraId="10922007" w14:textId="77777777" w:rsidR="00277678" w:rsidRDefault="00277678">
    <w:pPr>
      <w:pStyle w:val="Header"/>
      <w:jc w:val="center"/>
    </w:pPr>
  </w:p>
  <w:p w14:paraId="10922008" w14:textId="77777777" w:rsidR="00277678" w:rsidRDefault="00277678">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2200C" w14:textId="77777777" w:rsidR="00277678" w:rsidRDefault="00793126">
    <w:pPr>
      <w:pStyle w:val="Header"/>
      <w:jc w:val="right"/>
    </w:pPr>
    <w:r>
      <w:rPr>
        <w:noProof/>
        <w:lang w:val="en-US" w:eastAsia="zh-CN"/>
      </w:rPr>
      <w:drawing>
        <wp:anchor distT="0" distB="0" distL="114300" distR="114300" simplePos="0" relativeHeight="251664384" behindDoc="0" locked="0" layoutInCell="1" allowOverlap="1" wp14:anchorId="10922014" wp14:editId="10922015">
          <wp:simplePos x="0" y="0"/>
          <wp:positionH relativeFrom="margin">
            <wp:align>right</wp:align>
          </wp:positionH>
          <wp:positionV relativeFrom="paragraph">
            <wp:posOffset>-290830</wp:posOffset>
          </wp:positionV>
          <wp:extent cx="574675" cy="560070"/>
          <wp:effectExtent l="0" t="0" r="0" b="0"/>
          <wp:wrapSquare wrapText="bothSides"/>
          <wp:docPr id="1128057107"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8057107" name="Picture 278"/>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2200D" w14:textId="77777777" w:rsidR="00277678" w:rsidRDefault="0027767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 w15:restartNumberingAfterBreak="0">
    <w:nsid w:val="0696CDDA"/>
    <w:multiLevelType w:val="singleLevel"/>
    <w:tmpl w:val="0696CDDA"/>
    <w:lvl w:ilvl="0">
      <w:start w:val="1"/>
      <w:numFmt w:val="decimal"/>
      <w:lvlText w:val="[%1]"/>
      <w:lvlJc w:val="left"/>
      <w:pPr>
        <w:tabs>
          <w:tab w:val="left" w:pos="420"/>
        </w:tabs>
        <w:ind w:left="425" w:hanging="425"/>
      </w:pPr>
      <w:rPr>
        <w:rFonts w:hint="default"/>
      </w:rPr>
    </w:lvl>
  </w:abstractNum>
  <w:abstractNum w:abstractNumId="2" w15:restartNumberingAfterBreak="0">
    <w:nsid w:val="0B8D6414"/>
    <w:multiLevelType w:val="multilevel"/>
    <w:tmpl w:val="0B8D6414"/>
    <w:lvl w:ilvl="0">
      <w:start w:val="1"/>
      <w:numFmt w:val="decimal"/>
      <w:pStyle w:val="AnnexHeading1"/>
      <w:lvlText w:val="%1"/>
      <w:lvlJc w:val="left"/>
      <w:pPr>
        <w:tabs>
          <w:tab w:val="left" w:pos="567"/>
        </w:tabs>
        <w:ind w:left="567" w:hanging="567"/>
      </w:pPr>
      <w:rPr>
        <w:rFonts w:ascii="Arial Bold" w:hAnsi="Arial Bold" w:hint="default"/>
        <w:b/>
        <w:i w:val="0"/>
        <w:sz w:val="24"/>
      </w:rPr>
    </w:lvl>
    <w:lvl w:ilvl="1">
      <w:start w:val="1"/>
      <w:numFmt w:val="decimal"/>
      <w:pStyle w:val="AnnexHeading2"/>
      <w:lvlText w:val="%1.%2"/>
      <w:lvlJc w:val="left"/>
      <w:pPr>
        <w:tabs>
          <w:tab w:val="left" w:pos="851"/>
        </w:tabs>
        <w:ind w:left="851" w:hanging="851"/>
      </w:pPr>
      <w:rPr>
        <w:rFonts w:ascii="Arial Bold" w:hAnsi="Arial Bold" w:hint="default"/>
        <w:b/>
        <w:i w:val="0"/>
        <w:sz w:val="22"/>
      </w:rPr>
    </w:lvl>
    <w:lvl w:ilvl="2">
      <w:start w:val="1"/>
      <w:numFmt w:val="decimal"/>
      <w:pStyle w:val="AnnexHeading3"/>
      <w:lvlText w:val="%2.%3.%1"/>
      <w:lvlJc w:val="left"/>
      <w:pPr>
        <w:tabs>
          <w:tab w:val="left" w:pos="992"/>
        </w:tabs>
        <w:ind w:left="992" w:hanging="992"/>
      </w:pPr>
      <w:rPr>
        <w:rFonts w:ascii="Arial" w:hAnsi="Arial" w:hint="default"/>
        <w:b w:val="0"/>
        <w:i w:val="0"/>
        <w:sz w:val="22"/>
      </w:rPr>
    </w:lvl>
    <w:lvl w:ilvl="3">
      <w:start w:val="1"/>
      <w:numFmt w:val="decimal"/>
      <w:pStyle w:val="AnnexHeading4"/>
      <w:lvlText w:val="%1.%2.%3.%4"/>
      <w:lvlJc w:val="left"/>
      <w:pPr>
        <w:tabs>
          <w:tab w:val="left"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33478BF"/>
    <w:multiLevelType w:val="multilevel"/>
    <w:tmpl w:val="133478BF"/>
    <w:lvl w:ilvl="0">
      <w:start w:val="1"/>
      <w:numFmt w:val="bullet"/>
      <w:pStyle w:val="InsetList"/>
      <w:lvlText w:val=""/>
      <w:lvlJc w:val="left"/>
      <w:pPr>
        <w:ind w:left="680" w:hanging="396"/>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4F700B"/>
    <w:multiLevelType w:val="multilevel"/>
    <w:tmpl w:val="134F700B"/>
    <w:lvl w:ilvl="0">
      <w:start w:val="1"/>
      <w:numFmt w:val="upperLetter"/>
      <w:pStyle w:val="Annex"/>
      <w:lvlText w:val="ANNEX %1"/>
      <w:lvlJc w:val="left"/>
      <w:pPr>
        <w:ind w:left="851" w:hanging="851"/>
      </w:pPr>
      <w:rPr>
        <w:rFonts w:asciiTheme="minorHAnsi" w:hAnsiTheme="minorHAnsi" w:hint="default"/>
        <w:b/>
        <w:i w:val="0"/>
        <w:caps/>
        <w:color w:val="00558C"/>
        <w:sz w:val="28"/>
        <w:u w:val="none" w:color="407EC9"/>
      </w:rPr>
    </w:lvl>
    <w:lvl w:ilvl="1">
      <w:start w:val="1"/>
      <w:numFmt w:val="decimal"/>
      <w:pStyle w:val="AnnexHead2"/>
      <w:lvlText w:val="%1.%2."/>
      <w:lvlJc w:val="left"/>
      <w:pPr>
        <w:ind w:left="851" w:hanging="851"/>
      </w:pPr>
      <w:rPr>
        <w:rFonts w:ascii="Calibri" w:hAnsi="Calibri" w:hint="default"/>
        <w:b/>
        <w:i w:val="0"/>
        <w:caps/>
        <w:color w:val="00558C"/>
        <w:sz w:val="24"/>
      </w:rPr>
    </w:lvl>
    <w:lvl w:ilvl="2">
      <w:start w:val="1"/>
      <w:numFmt w:val="decimal"/>
      <w:pStyle w:val="AnnexHead3"/>
      <w:lvlText w:val="%1.%2.%3."/>
      <w:lvlJc w:val="left"/>
      <w:pPr>
        <w:ind w:left="1021" w:hanging="1021"/>
      </w:pPr>
      <w:rPr>
        <w:rFonts w:ascii="Calibri" w:hAnsi="Calibri" w:hint="default"/>
        <w:b/>
        <w:i w:val="0"/>
        <w:vanish w:val="0"/>
        <w:color w:val="00558C"/>
        <w:sz w:val="24"/>
      </w:rPr>
    </w:lvl>
    <w:lvl w:ilvl="3">
      <w:start w:val="1"/>
      <w:numFmt w:val="decimal"/>
      <w:pStyle w:val="AnnexHead4"/>
      <w:lvlText w:val="%1.%2.%3.%4."/>
      <w:lvlJc w:val="left"/>
      <w:pPr>
        <w:ind w:left="1134" w:hanging="1134"/>
      </w:pPr>
      <w:rPr>
        <w:rFonts w:ascii="Calibri" w:hAnsi="Calibri" w:hint="default"/>
        <w:b/>
        <w:i w:val="0"/>
        <w:caps/>
        <w:color w:val="00558C"/>
        <w:sz w:val="22"/>
      </w:rPr>
    </w:lvl>
    <w:lvl w:ilvl="4">
      <w:start w:val="1"/>
      <w:numFmt w:val="decimal"/>
      <w:pStyle w:val="AnnexHead5"/>
      <w:lvlText w:val="%1.%2.%3.%4.%5."/>
      <w:lvlJc w:val="left"/>
      <w:pPr>
        <w:ind w:left="1134" w:hanging="1134"/>
      </w:pPr>
      <w:rPr>
        <w:rFonts w:ascii="Calibri" w:hAnsi="Calibri" w:hint="default"/>
        <w:b w:val="0"/>
        <w:i w:val="0"/>
        <w:caps/>
        <w:color w:val="00558C"/>
        <w:sz w:val="22"/>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5" w15:restartNumberingAfterBreak="0">
    <w:nsid w:val="16102258"/>
    <w:multiLevelType w:val="multilevel"/>
    <w:tmpl w:val="16102258"/>
    <w:lvl w:ilvl="0">
      <w:start w:val="1"/>
      <w:numFmt w:val="decimal"/>
      <w:pStyle w:val="Tablecaption"/>
      <w:lvlText w:val="Table %1"/>
      <w:lvlJc w:val="left"/>
      <w:pPr>
        <w:ind w:left="567" w:hanging="567"/>
      </w:pPr>
      <w:rPr>
        <w:rFonts w:ascii="Calibri" w:hAnsi="Calibri" w:hint="default"/>
        <w:b w:val="0"/>
        <w:i/>
        <w:u w:val="non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6" w15:restartNumberingAfterBreak="0">
    <w:nsid w:val="19A1740F"/>
    <w:multiLevelType w:val="multilevel"/>
    <w:tmpl w:val="19A1740F"/>
    <w:lvl w:ilvl="0">
      <w:start w:val="1"/>
      <w:numFmt w:val="decimal"/>
      <w:pStyle w:val="Appendix"/>
      <w:lvlText w:val="APPENDIX %1"/>
      <w:lvlJc w:val="left"/>
      <w:pPr>
        <w:ind w:left="1701" w:hanging="1701"/>
      </w:pPr>
      <w:rPr>
        <w:rFonts w:ascii="Calibri (Body)" w:hAnsi="Calibri (Body)" w:hint="default"/>
        <w:b/>
        <w:bCs w:val="0"/>
        <w:i w:val="0"/>
        <w:iCs w:val="0"/>
        <w:caps/>
        <w:smallCaps w:val="0"/>
        <w:strike w:val="0"/>
        <w:dstrike w:val="0"/>
        <w:outline w:val="0"/>
        <w:shadow w:val="0"/>
        <w:emboss w:val="0"/>
        <w:imprint w:val="0"/>
        <w:vanish w:val="0"/>
        <w:color w:val="00558C"/>
        <w:spacing w:val="0"/>
        <w:kern w:val="0"/>
        <w:position w:val="0"/>
        <w:sz w:val="28"/>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pStyle w:val="AppendixHead1"/>
      <w:lvlText w:val="%2."/>
      <w:lvlJc w:val="left"/>
      <w:pPr>
        <w:ind w:left="907" w:hanging="907"/>
      </w:pPr>
      <w:rPr>
        <w:rFonts w:hint="default"/>
      </w:rPr>
    </w:lvl>
    <w:lvl w:ilvl="2">
      <w:start w:val="1"/>
      <w:numFmt w:val="decimal"/>
      <w:pStyle w:val="AppendixHead2"/>
      <w:lvlText w:val="%2.%3."/>
      <w:lvlJc w:val="left"/>
      <w:pPr>
        <w:ind w:left="1247" w:hanging="1247"/>
      </w:pPr>
      <w:rPr>
        <w:rFonts w:hint="default"/>
      </w:rPr>
    </w:lvl>
    <w:lvl w:ilvl="3">
      <w:start w:val="1"/>
      <w:numFmt w:val="decimal"/>
      <w:pStyle w:val="AppendixHead3"/>
      <w:lvlText w:val="%2.%3.%4."/>
      <w:lvlJc w:val="left"/>
      <w:pPr>
        <w:ind w:left="1588" w:hanging="1588"/>
      </w:pPr>
      <w:rPr>
        <w:rFonts w:hint="default"/>
      </w:rPr>
    </w:lvl>
    <w:lvl w:ilvl="4">
      <w:start w:val="1"/>
      <w:numFmt w:val="decimal"/>
      <w:pStyle w:val="AppendixHead4"/>
      <w:lvlText w:val="%2.%3.%4.%5."/>
      <w:lvlJc w:val="left"/>
      <w:pPr>
        <w:ind w:left="1758" w:hanging="175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E7E01D9"/>
    <w:multiLevelType w:val="multilevel"/>
    <w:tmpl w:val="1E7E01D9"/>
    <w:lvl w:ilvl="0">
      <w:start w:val="1"/>
      <w:numFmt w:val="decimal"/>
      <w:pStyle w:val="Reference"/>
      <w:lvlText w:val="[%1]"/>
      <w:lvlJc w:val="left"/>
      <w:pPr>
        <w:tabs>
          <w:tab w:val="left" w:pos="0"/>
        </w:tabs>
        <w:ind w:left="567" w:hanging="567"/>
      </w:pPr>
      <w:rPr>
        <w:rFonts w:asciiTheme="minorHAnsi" w:hAnsiTheme="minorHAnsi"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34245C5"/>
    <w:multiLevelType w:val="multilevel"/>
    <w:tmpl w:val="234245C5"/>
    <w:lvl w:ilvl="0">
      <w:start w:val="1"/>
      <w:numFmt w:val="decimal"/>
      <w:pStyle w:val="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8336371"/>
    <w:multiLevelType w:val="multilevel"/>
    <w:tmpl w:val="28336371"/>
    <w:lvl w:ilvl="0">
      <w:start w:val="1"/>
      <w:numFmt w:val="bullet"/>
      <w:pStyle w:val="Tableinsetlist"/>
      <w:lvlText w:val=""/>
      <w:lvlJc w:val="left"/>
      <w:pPr>
        <w:ind w:left="397"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98C04C8"/>
    <w:multiLevelType w:val="singleLevel"/>
    <w:tmpl w:val="298C04C8"/>
    <w:lvl w:ilvl="0">
      <w:start w:val="1"/>
      <w:numFmt w:val="decimal"/>
      <w:lvlText w:val="[%1]"/>
      <w:lvlJc w:val="left"/>
      <w:pPr>
        <w:tabs>
          <w:tab w:val="left" w:pos="420"/>
        </w:tabs>
        <w:ind w:left="425" w:hanging="425"/>
      </w:pPr>
      <w:rPr>
        <w:rFonts w:hint="default"/>
      </w:rPr>
    </w:lvl>
  </w:abstractNum>
  <w:abstractNum w:abstractNumId="11" w15:restartNumberingAfterBreak="0">
    <w:nsid w:val="2A4E1CF1"/>
    <w:multiLevelType w:val="multilevel"/>
    <w:tmpl w:val="2A4E1CF1"/>
    <w:lvl w:ilvl="0">
      <w:start w:val="1"/>
      <w:numFmt w:val="decimal"/>
      <w:pStyle w:val="AnnexTablecaption"/>
      <w:lvlText w:val="Tabl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BDB2C74"/>
    <w:multiLevelType w:val="multilevel"/>
    <w:tmpl w:val="2BDB2C74"/>
    <w:lvl w:ilvl="0">
      <w:start w:val="1"/>
      <w:numFmt w:val="decimal"/>
      <w:pStyle w:val="Annex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2547343"/>
    <w:multiLevelType w:val="multilevel"/>
    <w:tmpl w:val="32547343"/>
    <w:lvl w:ilvl="0">
      <w:start w:val="1"/>
      <w:numFmt w:val="decimal"/>
      <w:pStyle w:val="Furtherreading"/>
      <w:lvlText w:val="[%1]"/>
      <w:lvlJc w:val="left"/>
      <w:pPr>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76301AE"/>
    <w:multiLevelType w:val="multilevel"/>
    <w:tmpl w:val="376301AE"/>
    <w:lvl w:ilvl="0">
      <w:start w:val="1"/>
      <w:numFmt w:val="decimal"/>
      <w:pStyle w:val="AppendixHeading1"/>
      <w:lvlText w:val="%1"/>
      <w:lvlJc w:val="left"/>
      <w:pPr>
        <w:tabs>
          <w:tab w:val="left" w:pos="567"/>
        </w:tabs>
        <w:ind w:left="567" w:hanging="567"/>
      </w:pPr>
      <w:rPr>
        <w:rFonts w:ascii="Arial" w:hAnsi="Arial" w:hint="default"/>
        <w:b/>
        <w:i w:val="0"/>
        <w:sz w:val="24"/>
      </w:rPr>
    </w:lvl>
    <w:lvl w:ilvl="1">
      <w:start w:val="1"/>
      <w:numFmt w:val="decimal"/>
      <w:pStyle w:val="AppendixHeading2"/>
      <w:lvlText w:val="%1.%2"/>
      <w:lvlJc w:val="left"/>
      <w:pPr>
        <w:tabs>
          <w:tab w:val="left" w:pos="851"/>
        </w:tabs>
        <w:ind w:left="851" w:hanging="851"/>
      </w:pPr>
      <w:rPr>
        <w:rFonts w:ascii="Arial" w:hAnsi="Arial" w:hint="default"/>
        <w:b/>
        <w:i w:val="0"/>
        <w:sz w:val="22"/>
      </w:rPr>
    </w:lvl>
    <w:lvl w:ilvl="2">
      <w:start w:val="1"/>
      <w:numFmt w:val="decimal"/>
      <w:pStyle w:val="AppendixHeading3"/>
      <w:lvlText w:val="%1.%2.%3"/>
      <w:lvlJc w:val="left"/>
      <w:pPr>
        <w:tabs>
          <w:tab w:val="left" w:pos="992"/>
        </w:tabs>
        <w:ind w:left="992" w:hanging="992"/>
      </w:pPr>
      <w:rPr>
        <w:rFonts w:ascii="Arial" w:hAnsi="Arial" w:hint="default"/>
        <w:b w:val="0"/>
        <w:i w:val="0"/>
        <w:sz w:val="22"/>
      </w:rPr>
    </w:lvl>
    <w:lvl w:ilvl="3">
      <w:start w:val="1"/>
      <w:numFmt w:val="decimal"/>
      <w:pStyle w:val="AppendixHeading4"/>
      <w:lvlText w:val="%1.%2.%3.%4"/>
      <w:lvlJc w:val="left"/>
      <w:pPr>
        <w:tabs>
          <w:tab w:val="left"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8011C53"/>
    <w:multiLevelType w:val="multilevel"/>
    <w:tmpl w:val="48011C53"/>
    <w:lvl w:ilvl="0">
      <w:start w:val="1"/>
      <w:numFmt w:val="decimal"/>
      <w:pStyle w:val="AnnexFigure"/>
      <w:lvlText w:val="Figure %1"/>
      <w:lvlJc w:val="left"/>
      <w:pPr>
        <w:tabs>
          <w:tab w:val="left" w:pos="1701"/>
        </w:tabs>
        <w:ind w:left="1701" w:hanging="1701"/>
      </w:pPr>
      <w:rPr>
        <w:rFonts w:ascii="Arial" w:hAnsi="Arial" w:hint="default"/>
        <w:b w:val="0"/>
        <w:i/>
        <w:sz w:val="22"/>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8D554E7"/>
    <w:multiLevelType w:val="multilevel"/>
    <w:tmpl w:val="48D554E7"/>
    <w:lvl w:ilvl="0">
      <w:start w:val="1"/>
      <w:numFmt w:val="bullet"/>
      <w:pStyle w:val="Bullet1"/>
      <w:lvlText w:val=""/>
      <w:lvlJc w:val="left"/>
      <w:pPr>
        <w:ind w:left="360" w:hanging="360"/>
      </w:pPr>
      <w:rPr>
        <w:rFonts w:ascii="Symbol" w:hAnsi="Symbol" w:hint="default"/>
        <w:color w:val="00558C"/>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1B55D23"/>
    <w:multiLevelType w:val="multilevel"/>
    <w:tmpl w:val="51B55D23"/>
    <w:lvl w:ilvl="0">
      <w:start w:val="1"/>
      <w:numFmt w:val="decimal"/>
      <w:pStyle w:val="Table"/>
      <w:lvlText w:val="Table %1"/>
      <w:lvlJc w:val="left"/>
      <w:pPr>
        <w:tabs>
          <w:tab w:val="left" w:pos="1134"/>
        </w:tabs>
        <w:ind w:left="1134" w:hanging="113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EB057A3"/>
    <w:multiLevelType w:val="multilevel"/>
    <w:tmpl w:val="5EB057A3"/>
    <w:lvl w:ilvl="0">
      <w:start w:val="1"/>
      <w:numFmt w:val="decimal"/>
      <w:pStyle w:val="Equation"/>
      <w:lvlText w:val="(%1)"/>
      <w:lvlJc w:val="left"/>
      <w:pPr>
        <w:ind w:left="360" w:hanging="360"/>
      </w:pPr>
      <w:rPr>
        <w:rFonts w:hint="default"/>
        <w:b w:val="0"/>
        <w:i w:val="0"/>
        <w:sz w:val="22"/>
        <w:u w:val="no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634C1CBF"/>
    <w:multiLevelType w:val="singleLevel"/>
    <w:tmpl w:val="634C1CBF"/>
    <w:lvl w:ilvl="0">
      <w:start w:val="1"/>
      <w:numFmt w:val="decimal"/>
      <w:pStyle w:val="Figure"/>
      <w:lvlText w:val="Figure %1"/>
      <w:lvlJc w:val="left"/>
      <w:pPr>
        <w:tabs>
          <w:tab w:val="left" w:pos="1134"/>
        </w:tabs>
        <w:ind w:left="1134" w:hanging="1134"/>
      </w:pPr>
      <w:rPr>
        <w:rFonts w:ascii="Arial" w:hAnsi="Arial" w:hint="default"/>
        <w:b w:val="0"/>
        <w:i/>
        <w:sz w:val="22"/>
      </w:rPr>
    </w:lvl>
  </w:abstractNum>
  <w:abstractNum w:abstractNumId="20" w15:restartNumberingAfterBreak="0">
    <w:nsid w:val="67AB4D84"/>
    <w:multiLevelType w:val="multilevel"/>
    <w:tmpl w:val="67AB4D84"/>
    <w:lvl w:ilvl="0">
      <w:start w:val="1"/>
      <w:numFmt w:val="decimal"/>
      <w:pStyle w:val="Heading1"/>
      <w:lvlText w:val="%1."/>
      <w:lvlJc w:val="left"/>
      <w:pPr>
        <w:tabs>
          <w:tab w:val="left" w:pos="0"/>
        </w:tabs>
        <w:ind w:left="709" w:hanging="709"/>
      </w:pPr>
      <w:rPr>
        <w:rFonts w:asciiTheme="minorHAnsi" w:hAnsiTheme="minorHAnsi" w:hint="default"/>
        <w:b/>
        <w:i w:val="0"/>
        <w:color w:val="00558C"/>
        <w:sz w:val="28"/>
      </w:rPr>
    </w:lvl>
    <w:lvl w:ilvl="1">
      <w:start w:val="1"/>
      <w:numFmt w:val="decimal"/>
      <w:pStyle w:val="Heading2"/>
      <w:lvlText w:val="%1.%2."/>
      <w:lvlJc w:val="left"/>
      <w:pPr>
        <w:tabs>
          <w:tab w:val="left" w:pos="0"/>
        </w:tabs>
        <w:ind w:left="851" w:hanging="851"/>
      </w:pPr>
      <w:rPr>
        <w:rFonts w:asciiTheme="minorHAnsi" w:hAnsiTheme="minorHAnsi" w:hint="default"/>
        <w:b/>
        <w:i w:val="0"/>
        <w:color w:val="00558C"/>
        <w:sz w:val="24"/>
      </w:rPr>
    </w:lvl>
    <w:lvl w:ilvl="2">
      <w:start w:val="1"/>
      <w:numFmt w:val="decimal"/>
      <w:pStyle w:val="Heading3"/>
      <w:lvlText w:val="%1.%2.%3."/>
      <w:lvlJc w:val="left"/>
      <w:pPr>
        <w:tabs>
          <w:tab w:val="left" w:pos="0"/>
        </w:tabs>
        <w:ind w:left="992" w:hanging="992"/>
      </w:pPr>
      <w:rPr>
        <w:rFonts w:asciiTheme="minorHAnsi" w:hAnsiTheme="minorHAnsi" w:hint="default"/>
        <w:b/>
        <w:i w:val="0"/>
        <w:color w:val="00558C"/>
        <w:sz w:val="22"/>
      </w:rPr>
    </w:lvl>
    <w:lvl w:ilvl="3">
      <w:start w:val="1"/>
      <w:numFmt w:val="decimal"/>
      <w:pStyle w:val="Heading4"/>
      <w:lvlText w:val="%1.%2.%3.%4."/>
      <w:lvlJc w:val="left"/>
      <w:pPr>
        <w:tabs>
          <w:tab w:val="left" w:pos="0"/>
        </w:tabs>
        <w:ind w:left="1134" w:hanging="1134"/>
      </w:pPr>
      <w:rPr>
        <w:rFonts w:asciiTheme="minorHAnsi" w:hAnsiTheme="minorHAnsi" w:hint="default"/>
        <w:b/>
        <w:i w:val="0"/>
        <w:color w:val="00558C"/>
        <w:sz w:val="22"/>
      </w:rPr>
    </w:lvl>
    <w:lvl w:ilvl="4">
      <w:start w:val="1"/>
      <w:numFmt w:val="decimal"/>
      <w:pStyle w:val="Heading5"/>
      <w:lvlText w:val="%1.%2.%3.%4.%5"/>
      <w:lvlJc w:val="left"/>
      <w:pPr>
        <w:ind w:left="1008" w:hanging="1008"/>
      </w:pPr>
      <w:rPr>
        <w:rFonts w:ascii="Calibri" w:hAnsi="Calibri" w:hint="default"/>
        <w:color w:val="00558C"/>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69E674AF"/>
    <w:multiLevelType w:val="multilevel"/>
    <w:tmpl w:val="69E674AF"/>
    <w:lvl w:ilvl="0">
      <w:start w:val="1"/>
      <w:numFmt w:val="decimal"/>
      <w:pStyle w:val="AnnexTable"/>
      <w:lvlText w:val="Table %1"/>
      <w:lvlJc w:val="left"/>
      <w:pPr>
        <w:tabs>
          <w:tab w:val="left" w:pos="1134"/>
        </w:tabs>
        <w:ind w:left="1134" w:hanging="1134"/>
      </w:pPr>
      <w:rPr>
        <w:rFonts w:ascii="Arial" w:hAnsi="Arial" w:hint="default"/>
        <w:b w:val="0"/>
        <w:i/>
        <w:sz w:val="22"/>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6C9C62AB"/>
    <w:multiLevelType w:val="multilevel"/>
    <w:tmpl w:val="6C9C62AB"/>
    <w:lvl w:ilvl="0">
      <w:start w:val="1"/>
      <w:numFmt w:val="decimal"/>
      <w:lvlText w:val="%1"/>
      <w:lvlJc w:val="left"/>
      <w:pPr>
        <w:ind w:left="567" w:hanging="567"/>
      </w:pPr>
      <w:rPr>
        <w:rFonts w:asciiTheme="minorHAnsi" w:hAnsiTheme="minorHAnsi" w:hint="default"/>
        <w:b w:val="0"/>
        <w:i w:val="0"/>
        <w:sz w:val="22"/>
      </w:rPr>
    </w:lvl>
    <w:lvl w:ilvl="1">
      <w:start w:val="1"/>
      <w:numFmt w:val="lowerLetter"/>
      <w:pStyle w:val="Lista"/>
      <w:lvlText w:val="%2"/>
      <w:lvlJc w:val="left"/>
      <w:pPr>
        <w:ind w:left="1134" w:hanging="567"/>
      </w:pPr>
      <w:rPr>
        <w:rFonts w:asciiTheme="minorHAnsi" w:hAnsiTheme="minorHAnsi" w:hint="default"/>
        <w:b w:val="0"/>
        <w:i w:val="0"/>
        <w:sz w:val="22"/>
      </w:rPr>
    </w:lvl>
    <w:lvl w:ilvl="2">
      <w:start w:val="1"/>
      <w:numFmt w:val="lowerRoman"/>
      <w:pStyle w:val="Listi"/>
      <w:lvlText w:val="%3"/>
      <w:lvlJc w:val="left"/>
      <w:pPr>
        <w:ind w:left="2268" w:hanging="567"/>
      </w:pPr>
      <w:rPr>
        <w:rFonts w:asciiTheme="minorHAnsi" w:hAnsiTheme="minorHAnsi" w:hint="default"/>
        <w:b w:val="0"/>
        <w:i w:val="0"/>
        <w:sz w:val="20"/>
      </w:rPr>
    </w:lvl>
    <w:lvl w:ilvl="3">
      <w:start w:val="1"/>
      <w:numFmt w:val="decimal"/>
      <w:lvlText w:val="(%4)"/>
      <w:lvlJc w:val="left"/>
      <w:pPr>
        <w:ind w:left="2858" w:hanging="360"/>
      </w:pPr>
      <w:rPr>
        <w:rFonts w:hint="default"/>
      </w:rPr>
    </w:lvl>
    <w:lvl w:ilvl="4">
      <w:start w:val="1"/>
      <w:numFmt w:val="lowerLetter"/>
      <w:lvlText w:val="(%5)"/>
      <w:lvlJc w:val="left"/>
      <w:pPr>
        <w:ind w:left="3218" w:hanging="360"/>
      </w:pPr>
      <w:rPr>
        <w:rFonts w:hint="default"/>
      </w:rPr>
    </w:lvl>
    <w:lvl w:ilvl="5">
      <w:start w:val="1"/>
      <w:numFmt w:val="lowerRoman"/>
      <w:lvlText w:val="(%6)"/>
      <w:lvlJc w:val="left"/>
      <w:pPr>
        <w:ind w:left="3578" w:hanging="360"/>
      </w:pPr>
      <w:rPr>
        <w:rFonts w:hint="default"/>
      </w:rPr>
    </w:lvl>
    <w:lvl w:ilvl="6">
      <w:start w:val="1"/>
      <w:numFmt w:val="decimal"/>
      <w:lvlText w:val="%7."/>
      <w:lvlJc w:val="left"/>
      <w:pPr>
        <w:ind w:left="3938" w:hanging="360"/>
      </w:pPr>
      <w:rPr>
        <w:rFonts w:hint="default"/>
      </w:rPr>
    </w:lvl>
    <w:lvl w:ilvl="7">
      <w:start w:val="1"/>
      <w:numFmt w:val="lowerLetter"/>
      <w:lvlText w:val="%8."/>
      <w:lvlJc w:val="left"/>
      <w:pPr>
        <w:ind w:left="4298" w:hanging="360"/>
      </w:pPr>
      <w:rPr>
        <w:rFonts w:hint="default"/>
      </w:rPr>
    </w:lvl>
    <w:lvl w:ilvl="8">
      <w:start w:val="1"/>
      <w:numFmt w:val="lowerRoman"/>
      <w:lvlText w:val="%9."/>
      <w:lvlJc w:val="left"/>
      <w:pPr>
        <w:ind w:left="4658" w:hanging="360"/>
      </w:pPr>
      <w:rPr>
        <w:rFonts w:hint="default"/>
      </w:rPr>
    </w:lvl>
  </w:abstractNum>
  <w:abstractNum w:abstractNumId="23" w15:restartNumberingAfterBreak="0">
    <w:nsid w:val="7076F3A2"/>
    <w:multiLevelType w:val="multilevel"/>
    <w:tmpl w:val="7076F3A2"/>
    <w:lvl w:ilvl="0">
      <w:start w:val="1"/>
      <w:numFmt w:val="decimal"/>
      <w:pStyle w:val="List1"/>
      <w:lvlText w:val="%1"/>
      <w:lvlJc w:val="left"/>
      <w:pPr>
        <w:tabs>
          <w:tab w:val="left" w:pos="420"/>
        </w:tabs>
        <w:ind w:left="567" w:hanging="567"/>
      </w:pPr>
      <w:rPr>
        <w:rFonts w:ascii="Calibri" w:hAnsi="Calibri" w:hint="default"/>
        <w:b w:val="0"/>
        <w:i w:val="0"/>
        <w:sz w:val="22"/>
        <w:szCs w:val="22"/>
      </w:rPr>
    </w:lvl>
    <w:lvl w:ilvl="1">
      <w:start w:val="1"/>
      <w:numFmt w:val="lowerLetter"/>
      <w:pStyle w:val="List1indent1"/>
      <w:lvlText w:val="%2."/>
      <w:lvlJc w:val="left"/>
      <w:pPr>
        <w:tabs>
          <w:tab w:val="left" w:pos="1134"/>
        </w:tabs>
        <w:ind w:left="1134" w:hanging="567"/>
      </w:pPr>
      <w:rPr>
        <w:rFonts w:hint="default"/>
      </w:rPr>
    </w:lvl>
    <w:lvl w:ilvl="2">
      <w:start w:val="1"/>
      <w:numFmt w:val="lowerRoman"/>
      <w:pStyle w:val="List1indent2"/>
      <w:lvlText w:val="%3."/>
      <w:lvlJc w:val="left"/>
      <w:pPr>
        <w:tabs>
          <w:tab w:val="left"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76D64DA6"/>
    <w:multiLevelType w:val="multilevel"/>
    <w:tmpl w:val="76D64DA6"/>
    <w:lvl w:ilvl="0">
      <w:start w:val="1"/>
      <w:numFmt w:val="bullet"/>
      <w:pStyle w:val="Bullet3"/>
      <w:lvlText w:val="o"/>
      <w:lvlJc w:val="left"/>
      <w:pPr>
        <w:ind w:left="1211" w:hanging="360"/>
      </w:pPr>
      <w:rPr>
        <w:rFonts w:ascii="Courier New" w:hAnsi="Courier New" w:cs="Courier New"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BB11B89"/>
    <w:multiLevelType w:val="multilevel"/>
    <w:tmpl w:val="7BB11B89"/>
    <w:lvl w:ilvl="0">
      <w:start w:val="1"/>
      <w:numFmt w:val="bullet"/>
      <w:pStyle w:val="Bullet2"/>
      <w:lvlText w:val=""/>
      <w:lvlJc w:val="left"/>
      <w:pPr>
        <w:ind w:left="851" w:hanging="426"/>
      </w:pPr>
      <w:rPr>
        <w:rFonts w:ascii="Symbol" w:hAnsi="Symbol" w:hint="default"/>
        <w:color w:val="B2C1ED"/>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48725920">
    <w:abstractNumId w:val="20"/>
  </w:num>
  <w:num w:numId="2" w16cid:durableId="1570847127">
    <w:abstractNumId w:val="0"/>
  </w:num>
  <w:num w:numId="3" w16cid:durableId="5333061">
    <w:abstractNumId w:val="4"/>
  </w:num>
  <w:num w:numId="4" w16cid:durableId="1176723046">
    <w:abstractNumId w:val="15"/>
  </w:num>
  <w:num w:numId="5" w16cid:durableId="1252590794">
    <w:abstractNumId w:val="2"/>
  </w:num>
  <w:num w:numId="6" w16cid:durableId="1168137150">
    <w:abstractNumId w:val="21"/>
  </w:num>
  <w:num w:numId="7" w16cid:durableId="1048146961">
    <w:abstractNumId w:val="16"/>
  </w:num>
  <w:num w:numId="8" w16cid:durableId="1318417888">
    <w:abstractNumId w:val="25"/>
  </w:num>
  <w:num w:numId="9" w16cid:durableId="272328850">
    <w:abstractNumId w:val="24"/>
  </w:num>
  <w:num w:numId="10" w16cid:durableId="1295985958">
    <w:abstractNumId w:val="19"/>
  </w:num>
  <w:num w:numId="11" w16cid:durableId="591667549">
    <w:abstractNumId w:val="23"/>
  </w:num>
  <w:num w:numId="12" w16cid:durableId="1406611048">
    <w:abstractNumId w:val="17"/>
  </w:num>
  <w:num w:numId="13" w16cid:durableId="256333984">
    <w:abstractNumId w:val="14"/>
  </w:num>
  <w:num w:numId="14" w16cid:durableId="1129741875">
    <w:abstractNumId w:val="6"/>
  </w:num>
  <w:num w:numId="15" w16cid:durableId="47120682">
    <w:abstractNumId w:val="3"/>
  </w:num>
  <w:num w:numId="16" w16cid:durableId="230628544">
    <w:abstractNumId w:val="5"/>
  </w:num>
  <w:num w:numId="17" w16cid:durableId="384448871">
    <w:abstractNumId w:val="22"/>
  </w:num>
  <w:num w:numId="18" w16cid:durableId="1338657498">
    <w:abstractNumId w:val="9"/>
  </w:num>
  <w:num w:numId="19" w16cid:durableId="2007321794">
    <w:abstractNumId w:val="11"/>
  </w:num>
  <w:num w:numId="20" w16cid:durableId="446968042">
    <w:abstractNumId w:val="8"/>
  </w:num>
  <w:num w:numId="21" w16cid:durableId="967130375">
    <w:abstractNumId w:val="7"/>
  </w:num>
  <w:num w:numId="22" w16cid:durableId="379865797">
    <w:abstractNumId w:val="18"/>
  </w:num>
  <w:num w:numId="23" w16cid:durableId="1898934885">
    <w:abstractNumId w:val="13"/>
  </w:num>
  <w:num w:numId="24" w16cid:durableId="1820609999">
    <w:abstractNumId w:val="12"/>
  </w:num>
  <w:num w:numId="25" w16cid:durableId="1904026445">
    <w:abstractNumId w:val="10"/>
  </w:num>
  <w:num w:numId="26" w16cid:durableId="5077219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55876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displayBackgroundShape/>
  <w:embedSystemFonts/>
  <w:bordersDoNotSurroundHeader/>
  <w:bordersDoNotSurroundFooter/>
  <w:proofState w:spelling="clean" w:grammar="clean"/>
  <w:attachedTemplate r:id="rId1"/>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G3NDKyALLMTM3NjJV0lIJTi4sz8/NACgxrAXLxrRssAAAA"/>
    <w:docVar w:name="commondata" w:val="eyJoZGlkIjoiOGE1Y2I1ZmQ0NjkwNzQzYTRhNmI1MGVmZjhlYmUxYjYifQ=="/>
  </w:docVars>
  <w:rsids>
    <w:rsidRoot w:val="00FE5674"/>
    <w:rsid w:val="000005D3"/>
    <w:rsid w:val="000049D8"/>
    <w:rsid w:val="00036B9E"/>
    <w:rsid w:val="00037DF4"/>
    <w:rsid w:val="0004700E"/>
    <w:rsid w:val="00057FCA"/>
    <w:rsid w:val="00070C13"/>
    <w:rsid w:val="000715C9"/>
    <w:rsid w:val="00084F33"/>
    <w:rsid w:val="000A77A7"/>
    <w:rsid w:val="000B1707"/>
    <w:rsid w:val="000C1B3E"/>
    <w:rsid w:val="000C349E"/>
    <w:rsid w:val="00110203"/>
    <w:rsid w:val="00110AE7"/>
    <w:rsid w:val="001241C8"/>
    <w:rsid w:val="00161145"/>
    <w:rsid w:val="00177F4D"/>
    <w:rsid w:val="00180DDA"/>
    <w:rsid w:val="00181461"/>
    <w:rsid w:val="001A4CA7"/>
    <w:rsid w:val="001B2A2D"/>
    <w:rsid w:val="001B737D"/>
    <w:rsid w:val="001C44A3"/>
    <w:rsid w:val="001C77BB"/>
    <w:rsid w:val="001E0E15"/>
    <w:rsid w:val="001F528A"/>
    <w:rsid w:val="001F704E"/>
    <w:rsid w:val="00201722"/>
    <w:rsid w:val="002125B0"/>
    <w:rsid w:val="00221E08"/>
    <w:rsid w:val="00237D7C"/>
    <w:rsid w:val="00243228"/>
    <w:rsid w:val="00251483"/>
    <w:rsid w:val="00255CAA"/>
    <w:rsid w:val="00255D7B"/>
    <w:rsid w:val="0025741F"/>
    <w:rsid w:val="00264305"/>
    <w:rsid w:val="00277678"/>
    <w:rsid w:val="00286FEF"/>
    <w:rsid w:val="002A0346"/>
    <w:rsid w:val="002A03B2"/>
    <w:rsid w:val="002A0929"/>
    <w:rsid w:val="002A4487"/>
    <w:rsid w:val="002B49E9"/>
    <w:rsid w:val="002C632E"/>
    <w:rsid w:val="002D3E8B"/>
    <w:rsid w:val="002D4575"/>
    <w:rsid w:val="002D5C0C"/>
    <w:rsid w:val="002D681E"/>
    <w:rsid w:val="002E03D1"/>
    <w:rsid w:val="002E6B74"/>
    <w:rsid w:val="002E6FCA"/>
    <w:rsid w:val="00325315"/>
    <w:rsid w:val="003351C4"/>
    <w:rsid w:val="0035243F"/>
    <w:rsid w:val="00356CD0"/>
    <w:rsid w:val="00362CD9"/>
    <w:rsid w:val="003732E3"/>
    <w:rsid w:val="003761CA"/>
    <w:rsid w:val="003802AE"/>
    <w:rsid w:val="0038049E"/>
    <w:rsid w:val="00380DAF"/>
    <w:rsid w:val="003972CE"/>
    <w:rsid w:val="003B2635"/>
    <w:rsid w:val="003B28F5"/>
    <w:rsid w:val="003B7B7D"/>
    <w:rsid w:val="003C54CB"/>
    <w:rsid w:val="003C7A2A"/>
    <w:rsid w:val="003D25A2"/>
    <w:rsid w:val="003D2DC1"/>
    <w:rsid w:val="003D69D0"/>
    <w:rsid w:val="003E5F87"/>
    <w:rsid w:val="003F2918"/>
    <w:rsid w:val="003F430E"/>
    <w:rsid w:val="00402284"/>
    <w:rsid w:val="0040505B"/>
    <w:rsid w:val="0041088C"/>
    <w:rsid w:val="0041230E"/>
    <w:rsid w:val="00420A38"/>
    <w:rsid w:val="00426DB3"/>
    <w:rsid w:val="00431B19"/>
    <w:rsid w:val="0044470A"/>
    <w:rsid w:val="004533B7"/>
    <w:rsid w:val="004541CB"/>
    <w:rsid w:val="004661AD"/>
    <w:rsid w:val="004833F6"/>
    <w:rsid w:val="004D1BAB"/>
    <w:rsid w:val="004D1D85"/>
    <w:rsid w:val="004D3C3A"/>
    <w:rsid w:val="004E1CD1"/>
    <w:rsid w:val="004F7616"/>
    <w:rsid w:val="00502227"/>
    <w:rsid w:val="0050690E"/>
    <w:rsid w:val="005107EB"/>
    <w:rsid w:val="00520D71"/>
    <w:rsid w:val="00521345"/>
    <w:rsid w:val="00526DF0"/>
    <w:rsid w:val="005359BD"/>
    <w:rsid w:val="00545CC4"/>
    <w:rsid w:val="00546778"/>
    <w:rsid w:val="00551FFF"/>
    <w:rsid w:val="00555211"/>
    <w:rsid w:val="005607A2"/>
    <w:rsid w:val="0057198B"/>
    <w:rsid w:val="00573CFE"/>
    <w:rsid w:val="00593C2C"/>
    <w:rsid w:val="005969F2"/>
    <w:rsid w:val="00597FAE"/>
    <w:rsid w:val="005A2DBC"/>
    <w:rsid w:val="005A3591"/>
    <w:rsid w:val="005B32A3"/>
    <w:rsid w:val="005B3493"/>
    <w:rsid w:val="005C0D44"/>
    <w:rsid w:val="005C566C"/>
    <w:rsid w:val="005C7E69"/>
    <w:rsid w:val="005D0890"/>
    <w:rsid w:val="005E262D"/>
    <w:rsid w:val="005E6BFD"/>
    <w:rsid w:val="005F23D3"/>
    <w:rsid w:val="005F4009"/>
    <w:rsid w:val="005F7E20"/>
    <w:rsid w:val="0060227E"/>
    <w:rsid w:val="0060412B"/>
    <w:rsid w:val="00605E43"/>
    <w:rsid w:val="00607A19"/>
    <w:rsid w:val="006153BB"/>
    <w:rsid w:val="00635ADD"/>
    <w:rsid w:val="00637047"/>
    <w:rsid w:val="006652C3"/>
    <w:rsid w:val="00691FD0"/>
    <w:rsid w:val="00692148"/>
    <w:rsid w:val="006A1A1E"/>
    <w:rsid w:val="006A1AA6"/>
    <w:rsid w:val="006A5667"/>
    <w:rsid w:val="006A7D0A"/>
    <w:rsid w:val="006C5948"/>
    <w:rsid w:val="006E2121"/>
    <w:rsid w:val="006F2A74"/>
    <w:rsid w:val="00705F39"/>
    <w:rsid w:val="007118F5"/>
    <w:rsid w:val="00712AA4"/>
    <w:rsid w:val="007146C4"/>
    <w:rsid w:val="00721AA1"/>
    <w:rsid w:val="00724B67"/>
    <w:rsid w:val="007547F8"/>
    <w:rsid w:val="00754CAD"/>
    <w:rsid w:val="00765622"/>
    <w:rsid w:val="00770B6C"/>
    <w:rsid w:val="00774730"/>
    <w:rsid w:val="00783FEA"/>
    <w:rsid w:val="007926DC"/>
    <w:rsid w:val="00793126"/>
    <w:rsid w:val="007A395D"/>
    <w:rsid w:val="007B452A"/>
    <w:rsid w:val="007B4EB8"/>
    <w:rsid w:val="007C346C"/>
    <w:rsid w:val="007D63E3"/>
    <w:rsid w:val="0080294B"/>
    <w:rsid w:val="00821C64"/>
    <w:rsid w:val="0082480E"/>
    <w:rsid w:val="00850293"/>
    <w:rsid w:val="00851373"/>
    <w:rsid w:val="00851BA6"/>
    <w:rsid w:val="0085654D"/>
    <w:rsid w:val="00861160"/>
    <w:rsid w:val="00861801"/>
    <w:rsid w:val="0086654F"/>
    <w:rsid w:val="008702A8"/>
    <w:rsid w:val="0087239B"/>
    <w:rsid w:val="00882C42"/>
    <w:rsid w:val="00892CA4"/>
    <w:rsid w:val="008A356F"/>
    <w:rsid w:val="008A3ECA"/>
    <w:rsid w:val="008A443B"/>
    <w:rsid w:val="008A4653"/>
    <w:rsid w:val="008A4717"/>
    <w:rsid w:val="008A50CC"/>
    <w:rsid w:val="008B7088"/>
    <w:rsid w:val="008C058E"/>
    <w:rsid w:val="008C5EC0"/>
    <w:rsid w:val="008D1694"/>
    <w:rsid w:val="008D79CB"/>
    <w:rsid w:val="008E28CC"/>
    <w:rsid w:val="008F07BC"/>
    <w:rsid w:val="00904066"/>
    <w:rsid w:val="00910430"/>
    <w:rsid w:val="0092692B"/>
    <w:rsid w:val="0092799A"/>
    <w:rsid w:val="00943E9C"/>
    <w:rsid w:val="00953F4D"/>
    <w:rsid w:val="00960BB8"/>
    <w:rsid w:val="0096309A"/>
    <w:rsid w:val="00964F5C"/>
    <w:rsid w:val="00973B57"/>
    <w:rsid w:val="009831C0"/>
    <w:rsid w:val="009874F9"/>
    <w:rsid w:val="0099161D"/>
    <w:rsid w:val="009C11B1"/>
    <w:rsid w:val="009C5F41"/>
    <w:rsid w:val="00A01B17"/>
    <w:rsid w:val="00A0389B"/>
    <w:rsid w:val="00A21C54"/>
    <w:rsid w:val="00A26017"/>
    <w:rsid w:val="00A446C9"/>
    <w:rsid w:val="00A56C33"/>
    <w:rsid w:val="00A635D6"/>
    <w:rsid w:val="00A64578"/>
    <w:rsid w:val="00A64C2A"/>
    <w:rsid w:val="00A72757"/>
    <w:rsid w:val="00A800A9"/>
    <w:rsid w:val="00A8553A"/>
    <w:rsid w:val="00A879E1"/>
    <w:rsid w:val="00A93AED"/>
    <w:rsid w:val="00AB3F5B"/>
    <w:rsid w:val="00AE1319"/>
    <w:rsid w:val="00AE34BB"/>
    <w:rsid w:val="00B0084A"/>
    <w:rsid w:val="00B010EC"/>
    <w:rsid w:val="00B0520E"/>
    <w:rsid w:val="00B226F2"/>
    <w:rsid w:val="00B274DF"/>
    <w:rsid w:val="00B351F6"/>
    <w:rsid w:val="00B462EB"/>
    <w:rsid w:val="00B56BDF"/>
    <w:rsid w:val="00B65812"/>
    <w:rsid w:val="00B661C7"/>
    <w:rsid w:val="00B74EE1"/>
    <w:rsid w:val="00B80530"/>
    <w:rsid w:val="00B85CD6"/>
    <w:rsid w:val="00B90A27"/>
    <w:rsid w:val="00B93C77"/>
    <w:rsid w:val="00B9554D"/>
    <w:rsid w:val="00BA092A"/>
    <w:rsid w:val="00BA4DA9"/>
    <w:rsid w:val="00BB2B9F"/>
    <w:rsid w:val="00BB7D9E"/>
    <w:rsid w:val="00BC2334"/>
    <w:rsid w:val="00BD3CB8"/>
    <w:rsid w:val="00BD4E6F"/>
    <w:rsid w:val="00BE11F7"/>
    <w:rsid w:val="00BE700D"/>
    <w:rsid w:val="00BF32F0"/>
    <w:rsid w:val="00BF45E8"/>
    <w:rsid w:val="00BF4DCE"/>
    <w:rsid w:val="00BF4DFB"/>
    <w:rsid w:val="00C02DDD"/>
    <w:rsid w:val="00C05CE5"/>
    <w:rsid w:val="00C211E2"/>
    <w:rsid w:val="00C24447"/>
    <w:rsid w:val="00C52A4D"/>
    <w:rsid w:val="00C6171E"/>
    <w:rsid w:val="00C865DF"/>
    <w:rsid w:val="00CA6F2C"/>
    <w:rsid w:val="00CC0BCD"/>
    <w:rsid w:val="00CC1EFD"/>
    <w:rsid w:val="00CC79CE"/>
    <w:rsid w:val="00CF1871"/>
    <w:rsid w:val="00D019CE"/>
    <w:rsid w:val="00D1133E"/>
    <w:rsid w:val="00D17A34"/>
    <w:rsid w:val="00D26628"/>
    <w:rsid w:val="00D332B3"/>
    <w:rsid w:val="00D34D52"/>
    <w:rsid w:val="00D423E5"/>
    <w:rsid w:val="00D55207"/>
    <w:rsid w:val="00D60825"/>
    <w:rsid w:val="00D81801"/>
    <w:rsid w:val="00D82B03"/>
    <w:rsid w:val="00D92B45"/>
    <w:rsid w:val="00D95962"/>
    <w:rsid w:val="00DC389B"/>
    <w:rsid w:val="00DE2FEE"/>
    <w:rsid w:val="00E00BE9"/>
    <w:rsid w:val="00E04761"/>
    <w:rsid w:val="00E22A11"/>
    <w:rsid w:val="00E31E5C"/>
    <w:rsid w:val="00E33519"/>
    <w:rsid w:val="00E44DD2"/>
    <w:rsid w:val="00E558C3"/>
    <w:rsid w:val="00E55927"/>
    <w:rsid w:val="00E875C1"/>
    <w:rsid w:val="00E912A6"/>
    <w:rsid w:val="00E957DD"/>
    <w:rsid w:val="00E9653D"/>
    <w:rsid w:val="00EA4844"/>
    <w:rsid w:val="00EA4D9C"/>
    <w:rsid w:val="00EA5A97"/>
    <w:rsid w:val="00EB75EE"/>
    <w:rsid w:val="00EC2077"/>
    <w:rsid w:val="00EE4C1D"/>
    <w:rsid w:val="00EE6E67"/>
    <w:rsid w:val="00EF3685"/>
    <w:rsid w:val="00F04350"/>
    <w:rsid w:val="00F133DB"/>
    <w:rsid w:val="00F138F5"/>
    <w:rsid w:val="00F159EB"/>
    <w:rsid w:val="00F25BF4"/>
    <w:rsid w:val="00F267DB"/>
    <w:rsid w:val="00F312B7"/>
    <w:rsid w:val="00F41035"/>
    <w:rsid w:val="00F46F6F"/>
    <w:rsid w:val="00F60608"/>
    <w:rsid w:val="00F62217"/>
    <w:rsid w:val="00F66E9D"/>
    <w:rsid w:val="00F71ACC"/>
    <w:rsid w:val="00F8130F"/>
    <w:rsid w:val="00F8636E"/>
    <w:rsid w:val="00FA4D9C"/>
    <w:rsid w:val="00FB17A9"/>
    <w:rsid w:val="00FB2206"/>
    <w:rsid w:val="00FB527C"/>
    <w:rsid w:val="00FB6F75"/>
    <w:rsid w:val="00FC0EB3"/>
    <w:rsid w:val="00FD386B"/>
    <w:rsid w:val="00FD675E"/>
    <w:rsid w:val="00FE01EC"/>
    <w:rsid w:val="00FE5674"/>
    <w:rsid w:val="013E2018"/>
    <w:rsid w:val="015E4AD6"/>
    <w:rsid w:val="02B70F0D"/>
    <w:rsid w:val="06F01ED9"/>
    <w:rsid w:val="0A557412"/>
    <w:rsid w:val="0A56459C"/>
    <w:rsid w:val="0B6A08BD"/>
    <w:rsid w:val="0BF432A1"/>
    <w:rsid w:val="0C816884"/>
    <w:rsid w:val="0CCA5FEC"/>
    <w:rsid w:val="0CFD1647"/>
    <w:rsid w:val="0E39220B"/>
    <w:rsid w:val="0F53554E"/>
    <w:rsid w:val="10994EC9"/>
    <w:rsid w:val="111117B8"/>
    <w:rsid w:val="12385CB5"/>
    <w:rsid w:val="13D749A0"/>
    <w:rsid w:val="142B0AAA"/>
    <w:rsid w:val="17DF333F"/>
    <w:rsid w:val="1CAA7120"/>
    <w:rsid w:val="1DDE2DCF"/>
    <w:rsid w:val="1E93294D"/>
    <w:rsid w:val="1EF5586F"/>
    <w:rsid w:val="1F43743A"/>
    <w:rsid w:val="1FC5401F"/>
    <w:rsid w:val="2300637F"/>
    <w:rsid w:val="24040007"/>
    <w:rsid w:val="252B3FB9"/>
    <w:rsid w:val="25413422"/>
    <w:rsid w:val="270C4C5A"/>
    <w:rsid w:val="2DC223A5"/>
    <w:rsid w:val="2E4455B5"/>
    <w:rsid w:val="2E717347"/>
    <w:rsid w:val="2EF7784D"/>
    <w:rsid w:val="30360848"/>
    <w:rsid w:val="30B90181"/>
    <w:rsid w:val="30C16FAC"/>
    <w:rsid w:val="3215710C"/>
    <w:rsid w:val="32FE2C7B"/>
    <w:rsid w:val="3355548A"/>
    <w:rsid w:val="337B5714"/>
    <w:rsid w:val="33E81E5A"/>
    <w:rsid w:val="36D6243D"/>
    <w:rsid w:val="37941FE1"/>
    <w:rsid w:val="38417268"/>
    <w:rsid w:val="397C12AD"/>
    <w:rsid w:val="3B410C19"/>
    <w:rsid w:val="3C83645C"/>
    <w:rsid w:val="3CFB4687"/>
    <w:rsid w:val="3E91458F"/>
    <w:rsid w:val="3FA47009"/>
    <w:rsid w:val="3FC721BF"/>
    <w:rsid w:val="40D47A68"/>
    <w:rsid w:val="41AC4A20"/>
    <w:rsid w:val="4336376A"/>
    <w:rsid w:val="43EE526A"/>
    <w:rsid w:val="44066E25"/>
    <w:rsid w:val="44CA116A"/>
    <w:rsid w:val="46923296"/>
    <w:rsid w:val="476F0470"/>
    <w:rsid w:val="47C0321B"/>
    <w:rsid w:val="481E3C44"/>
    <w:rsid w:val="484A4A39"/>
    <w:rsid w:val="488D0DC0"/>
    <w:rsid w:val="4AE90539"/>
    <w:rsid w:val="4AEF3676"/>
    <w:rsid w:val="4B3F1DC9"/>
    <w:rsid w:val="4B5B7797"/>
    <w:rsid w:val="4B696742"/>
    <w:rsid w:val="4BA30626"/>
    <w:rsid w:val="4C3F6085"/>
    <w:rsid w:val="4F217468"/>
    <w:rsid w:val="4FA9473B"/>
    <w:rsid w:val="5051105B"/>
    <w:rsid w:val="516C5AE1"/>
    <w:rsid w:val="51F42A31"/>
    <w:rsid w:val="52374280"/>
    <w:rsid w:val="5454111A"/>
    <w:rsid w:val="54617393"/>
    <w:rsid w:val="574174DD"/>
    <w:rsid w:val="576378C6"/>
    <w:rsid w:val="587F5F1F"/>
    <w:rsid w:val="59915B0A"/>
    <w:rsid w:val="5ADF3707"/>
    <w:rsid w:val="5E6F6B50"/>
    <w:rsid w:val="5EF15967"/>
    <w:rsid w:val="5F557C1F"/>
    <w:rsid w:val="5F827A8F"/>
    <w:rsid w:val="609C2183"/>
    <w:rsid w:val="61C84EF5"/>
    <w:rsid w:val="62110DE9"/>
    <w:rsid w:val="62E12AEE"/>
    <w:rsid w:val="636605AB"/>
    <w:rsid w:val="63D47B81"/>
    <w:rsid w:val="63E279EC"/>
    <w:rsid w:val="64AF51B7"/>
    <w:rsid w:val="6530391D"/>
    <w:rsid w:val="68EA4116"/>
    <w:rsid w:val="69FE3469"/>
    <w:rsid w:val="6BCA1925"/>
    <w:rsid w:val="6DF81BA7"/>
    <w:rsid w:val="6E906D9A"/>
    <w:rsid w:val="6F3115E6"/>
    <w:rsid w:val="6FCB08A9"/>
    <w:rsid w:val="70EE7DA8"/>
    <w:rsid w:val="72604CD6"/>
    <w:rsid w:val="73C05A2C"/>
    <w:rsid w:val="744743D4"/>
    <w:rsid w:val="7818523B"/>
    <w:rsid w:val="7C2D3E7B"/>
    <w:rsid w:val="7C8D6796"/>
    <w:rsid w:val="7F6851C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0921EB1"/>
  <w15:docId w15:val="{AAEED7D1-476D-4379-B774-9DDBCA229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uiPriority="39" w:unhideWhenUsed="1" w:qFormat="1"/>
    <w:lsdException w:name="toc 5" w:uiPriority="39" w:qFormat="1"/>
    <w:lsdException w:name="toc 6" w:uiPriority="0" w:qFormat="1"/>
    <w:lsdException w:name="toc 7" w:uiPriority="0" w:qFormat="1"/>
    <w:lsdException w:name="toc 8" w:uiPriority="0" w:qFormat="1"/>
    <w:lsdException w:name="toc 9" w:uiPriority="0" w:qFormat="1"/>
    <w:lsdException w:name="Normal Indent" w:semiHidden="1" w:unhideWhenUsed="1"/>
    <w:lsdException w:name="footnote text" w:unhideWhenUsed="1" w:qFormat="1"/>
    <w:lsdException w:name="annotation text" w:uiPriority="0" w:unhideWhenUsed="1" w:qFormat="1"/>
    <w:lsdException w:name="header" w:uiPriority="0"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qFormat="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iPriority="0" w:unhideWhenUsed="1"/>
    <w:lsdException w:name="List Number" w:semiHidden="1"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uiPriority="0" w:qFormat="1"/>
    <w:lsdException w:name="Body Text Indent 3" w:semiHidden="1" w:uiPriority="0" w:unhideWhenUsed="1" w:qFormat="1"/>
    <w:lsdException w:name="Block Text" w:semiHidden="1" w:unhideWhenUsed="1"/>
    <w:lsdException w:name="Hyperlink" w:unhideWhenUsed="1" w:qFormat="1"/>
    <w:lsdException w:name="FollowedHyperlink" w:uiPriority="0" w:qFormat="1"/>
    <w:lsdException w:name="Strong" w:uiPriority="22"/>
    <w:lsdException w:name="Emphasis" w:uiPriority="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uiPriority="0" w:qFormat="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qFormat="1"/>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16" w:lineRule="atLeast"/>
    </w:pPr>
    <w:rPr>
      <w:rFonts w:asciiTheme="minorHAnsi" w:eastAsiaTheme="minorHAnsi" w:hAnsiTheme="minorHAnsi" w:cstheme="minorBidi"/>
      <w:sz w:val="18"/>
      <w:szCs w:val="22"/>
      <w:lang w:val="en-GB" w:eastAsia="en-US"/>
    </w:rPr>
  </w:style>
  <w:style w:type="paragraph" w:styleId="Heading1">
    <w:name w:val="heading 1"/>
    <w:basedOn w:val="Normal"/>
    <w:next w:val="Normal"/>
    <w:link w:val="Heading1Char"/>
    <w:qFormat/>
    <w:pPr>
      <w:keepNext/>
      <w:keepLines/>
      <w:numPr>
        <w:numId w:val="1"/>
      </w:numPr>
      <w:spacing w:before="240" w:after="200" w:line="240" w:lineRule="atLeast"/>
      <w:outlineLvl w:val="0"/>
    </w:pPr>
    <w:rPr>
      <w:rFonts w:ascii="Calibri" w:eastAsiaTheme="majorEastAsia" w:hAnsi="Calibri" w:cstheme="majorBidi"/>
      <w:b/>
      <w:bCs/>
      <w:caps/>
      <w:color w:val="00558C"/>
      <w:sz w:val="28"/>
      <w:szCs w:val="24"/>
    </w:rPr>
  </w:style>
  <w:style w:type="paragraph" w:styleId="Heading2">
    <w:name w:val="heading 2"/>
    <w:basedOn w:val="Heading1"/>
    <w:next w:val="Normal"/>
    <w:link w:val="Heading2Char"/>
    <w:qFormat/>
    <w:pPr>
      <w:numPr>
        <w:ilvl w:val="1"/>
      </w:numPr>
      <w:ind w:right="709"/>
      <w:outlineLvl w:val="1"/>
    </w:pPr>
    <w:rPr>
      <w:bCs w:val="0"/>
      <w:sz w:val="24"/>
    </w:rPr>
  </w:style>
  <w:style w:type="paragraph" w:styleId="Heading3">
    <w:name w:val="heading 3"/>
    <w:basedOn w:val="Heading1"/>
    <w:next w:val="Normal"/>
    <w:link w:val="Heading3Char"/>
    <w:qFormat/>
    <w:pPr>
      <w:numPr>
        <w:ilvl w:val="2"/>
      </w:numPr>
      <w:spacing w:before="120" w:after="120"/>
      <w:ind w:right="851"/>
      <w:outlineLvl w:val="2"/>
    </w:pPr>
    <w:rPr>
      <w:caps w:val="0"/>
      <w:smallCaps/>
    </w:rPr>
  </w:style>
  <w:style w:type="paragraph" w:styleId="Heading4">
    <w:name w:val="heading 4"/>
    <w:basedOn w:val="Heading3"/>
    <w:next w:val="Normal"/>
    <w:link w:val="Heading4Char"/>
    <w:qFormat/>
    <w:pPr>
      <w:numPr>
        <w:ilvl w:val="3"/>
      </w:numPr>
      <w:ind w:right="992"/>
      <w:outlineLvl w:val="3"/>
    </w:pPr>
    <w:rPr>
      <w:bCs w:val="0"/>
      <w:iCs/>
      <w:smallCaps w:val="0"/>
      <w:sz w:val="22"/>
    </w:rPr>
  </w:style>
  <w:style w:type="paragraph" w:styleId="Heading5">
    <w:name w:val="heading 5"/>
    <w:basedOn w:val="Heading4"/>
    <w:next w:val="Normal"/>
    <w:link w:val="Heading5Char"/>
    <w:qFormat/>
    <w:pPr>
      <w:numPr>
        <w:ilvl w:val="4"/>
      </w:numPr>
      <w:spacing w:before="200"/>
      <w:ind w:left="1701" w:hanging="1701"/>
      <w:outlineLvl w:val="4"/>
    </w:pPr>
    <w:rPr>
      <w:b w:val="0"/>
    </w:rPr>
  </w:style>
  <w:style w:type="paragraph" w:styleId="Heading6">
    <w:name w:val="heading 6"/>
    <w:basedOn w:val="Normal"/>
    <w:next w:val="Normal"/>
    <w:link w:val="Heading6Char"/>
    <w:qFormat/>
    <w:pPr>
      <w:keepNext/>
      <w:keepLines/>
      <w:spacing w:before="200"/>
      <w:outlineLvl w:val="5"/>
    </w:pPr>
    <w:rPr>
      <w:rFonts w:asciiTheme="majorHAnsi" w:eastAsiaTheme="majorEastAsia" w:hAnsiTheme="majorHAnsi" w:cstheme="majorBidi"/>
      <w:i/>
      <w:iCs/>
      <w:color w:val="244061" w:themeColor="accent1" w:themeShade="80"/>
    </w:rPr>
  </w:style>
  <w:style w:type="paragraph" w:styleId="Heading7">
    <w:name w:val="heading 7"/>
    <w:basedOn w:val="Normal"/>
    <w:next w:val="Normal"/>
    <w:link w:val="Heading7Char"/>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qFormat/>
    <w:pPr>
      <w:spacing w:line="240" w:lineRule="auto"/>
      <w:ind w:left="1200"/>
    </w:pPr>
    <w:rPr>
      <w:rFonts w:ascii="Arial" w:eastAsia="Times New Roman" w:hAnsi="Arial" w:cs="Times New Roman"/>
      <w:sz w:val="20"/>
      <w:szCs w:val="20"/>
    </w:rPr>
  </w:style>
  <w:style w:type="paragraph" w:styleId="ListNumber">
    <w:name w:val="List Number"/>
    <w:basedOn w:val="Normal"/>
    <w:semiHidden/>
    <w:qFormat/>
    <w:pPr>
      <w:numPr>
        <w:numId w:val="2"/>
      </w:numPr>
      <w:contextualSpacing/>
    </w:pPr>
  </w:style>
  <w:style w:type="paragraph" w:styleId="Caption">
    <w:name w:val="caption"/>
    <w:basedOn w:val="Normal"/>
    <w:next w:val="Normal"/>
    <w:uiPriority w:val="35"/>
    <w:qFormat/>
    <w:rPr>
      <w:b/>
      <w:bCs/>
      <w:i/>
      <w:color w:val="575756"/>
      <w:sz w:val="22"/>
      <w:u w:val="single"/>
    </w:rPr>
  </w:style>
  <w:style w:type="paragraph" w:styleId="DocumentMap">
    <w:name w:val="Document Map"/>
    <w:basedOn w:val="Normal"/>
    <w:link w:val="DocumentMapChar"/>
    <w:qFormat/>
    <w:pPr>
      <w:shd w:val="clear" w:color="auto" w:fill="000080"/>
      <w:spacing w:line="240" w:lineRule="auto"/>
    </w:pPr>
    <w:rPr>
      <w:rFonts w:ascii="Tahoma" w:eastAsia="Times New Roman" w:hAnsi="Tahoma" w:cs="Times New Roman"/>
      <w:sz w:val="20"/>
      <w:szCs w:val="24"/>
      <w:lang w:val="de-DE" w:eastAsia="de-DE"/>
    </w:rPr>
  </w:style>
  <w:style w:type="paragraph" w:styleId="CommentText">
    <w:name w:val="annotation text"/>
    <w:basedOn w:val="Normal"/>
    <w:link w:val="CommentTextChar"/>
    <w:unhideWhenUsed/>
    <w:qFormat/>
    <w:pPr>
      <w:spacing w:line="240" w:lineRule="auto"/>
    </w:pPr>
    <w:rPr>
      <w:sz w:val="24"/>
      <w:szCs w:val="24"/>
    </w:rPr>
  </w:style>
  <w:style w:type="paragraph" w:styleId="BodyText">
    <w:name w:val="Body Text"/>
    <w:basedOn w:val="Normal"/>
    <w:link w:val="BodyTextChar"/>
    <w:unhideWhenUsed/>
    <w:qFormat/>
    <w:pPr>
      <w:spacing w:after="120"/>
      <w:jc w:val="both"/>
    </w:pPr>
    <w:rPr>
      <w:sz w:val="22"/>
    </w:rPr>
  </w:style>
  <w:style w:type="paragraph" w:styleId="BodyTextIndent">
    <w:name w:val="Body Text Indent"/>
    <w:basedOn w:val="Normal"/>
    <w:link w:val="BodyTextIndentChar"/>
    <w:qFormat/>
    <w:pPr>
      <w:spacing w:after="120"/>
      <w:ind w:left="567"/>
    </w:pPr>
  </w:style>
  <w:style w:type="paragraph" w:styleId="ListNumber3">
    <w:name w:val="List Number 3"/>
    <w:basedOn w:val="Normal"/>
    <w:uiPriority w:val="99"/>
    <w:unhideWhenUsed/>
    <w:qFormat/>
    <w:pPr>
      <w:contextualSpacing/>
    </w:pPr>
  </w:style>
  <w:style w:type="paragraph" w:styleId="TOC5">
    <w:name w:val="toc 5"/>
    <w:basedOn w:val="Normal"/>
    <w:next w:val="Normal"/>
    <w:uiPriority w:val="39"/>
    <w:qFormat/>
    <w:pPr>
      <w:tabs>
        <w:tab w:val="right" w:leader="dot" w:pos="9781"/>
        <w:tab w:val="right" w:leader="dot" w:pos="10206"/>
      </w:tabs>
      <w:spacing w:before="60" w:after="60" w:line="240" w:lineRule="auto"/>
      <w:ind w:left="1418" w:right="425" w:hanging="1418"/>
    </w:pPr>
    <w:rPr>
      <w:rFonts w:eastAsia="Times New Roman" w:cs="Times New Roman"/>
      <w:b/>
      <w:caps/>
      <w:color w:val="00558C"/>
      <w:sz w:val="22"/>
      <w:szCs w:val="20"/>
    </w:rPr>
  </w:style>
  <w:style w:type="paragraph" w:styleId="TOC3">
    <w:name w:val="toc 3"/>
    <w:basedOn w:val="Normal"/>
    <w:next w:val="Normal"/>
    <w:uiPriority w:val="39"/>
    <w:unhideWhenUsed/>
    <w:qFormat/>
    <w:pPr>
      <w:tabs>
        <w:tab w:val="right" w:leader="dot" w:pos="9781"/>
      </w:tabs>
      <w:spacing w:after="60"/>
      <w:ind w:left="1134" w:hanging="709"/>
    </w:pPr>
    <w:rPr>
      <w:color w:val="00558C"/>
    </w:rPr>
  </w:style>
  <w:style w:type="paragraph" w:styleId="TOC8">
    <w:name w:val="toc 8"/>
    <w:basedOn w:val="Normal"/>
    <w:next w:val="Normal"/>
    <w:qFormat/>
    <w:pPr>
      <w:spacing w:line="240" w:lineRule="auto"/>
      <w:ind w:left="1440"/>
    </w:pPr>
    <w:rPr>
      <w:rFonts w:ascii="Arial" w:eastAsia="Times New Roman" w:hAnsi="Arial" w:cs="Times New Roman"/>
      <w:sz w:val="20"/>
      <w:szCs w:val="20"/>
    </w:rPr>
  </w:style>
  <w:style w:type="paragraph" w:styleId="BodyTextIndent2">
    <w:name w:val="Body Text Indent 2"/>
    <w:basedOn w:val="Normal"/>
    <w:link w:val="BodyTextIndent2Char"/>
    <w:qFormat/>
    <w:pPr>
      <w:spacing w:after="120"/>
      <w:ind w:left="1134"/>
      <w:jc w:val="both"/>
    </w:pPr>
    <w:rPr>
      <w:lang w:eastAsia="de-DE"/>
    </w:rPr>
  </w:style>
  <w:style w:type="paragraph" w:styleId="BalloonText">
    <w:name w:val="Balloon Text"/>
    <w:basedOn w:val="Normal"/>
    <w:link w:val="BalloonTextChar"/>
    <w:qFormat/>
    <w:pPr>
      <w:spacing w:line="240" w:lineRule="auto"/>
    </w:pPr>
    <w:rPr>
      <w:rFonts w:ascii="Tahoma" w:hAnsi="Tahoma" w:cs="Tahoma"/>
      <w:sz w:val="16"/>
      <w:szCs w:val="16"/>
    </w:rPr>
  </w:style>
  <w:style w:type="paragraph" w:styleId="Footer">
    <w:name w:val="footer"/>
    <w:link w:val="FooterChar"/>
    <w:uiPriority w:val="99"/>
    <w:qFormat/>
    <w:pPr>
      <w:spacing w:line="240" w:lineRule="exact"/>
    </w:pPr>
    <w:rPr>
      <w:rFonts w:asciiTheme="minorHAnsi" w:eastAsiaTheme="minorHAnsi" w:hAnsiTheme="minorHAnsi" w:cstheme="minorBidi"/>
      <w:szCs w:val="22"/>
      <w:lang w:val="en-GB" w:eastAsia="en-US"/>
    </w:rPr>
  </w:style>
  <w:style w:type="paragraph" w:styleId="Header">
    <w:name w:val="header"/>
    <w:basedOn w:val="Normal"/>
    <w:link w:val="HeaderChar"/>
    <w:qFormat/>
    <w:pPr>
      <w:spacing w:line="240" w:lineRule="exact"/>
    </w:pPr>
  </w:style>
  <w:style w:type="paragraph" w:styleId="TOC1">
    <w:name w:val="toc 1"/>
    <w:basedOn w:val="Normal"/>
    <w:next w:val="Normal"/>
    <w:uiPriority w:val="39"/>
    <w:qFormat/>
    <w:pPr>
      <w:tabs>
        <w:tab w:val="right" w:leader="dot" w:pos="9781"/>
      </w:tabs>
      <w:spacing w:after="40" w:line="300" w:lineRule="atLeast"/>
      <w:ind w:left="425" w:right="425" w:hanging="425"/>
    </w:pPr>
    <w:rPr>
      <w:b/>
      <w:caps/>
      <w:color w:val="4F81BD" w:themeColor="accent1"/>
      <w:sz w:val="22"/>
    </w:rPr>
  </w:style>
  <w:style w:type="paragraph" w:styleId="TOC4">
    <w:name w:val="toc 4"/>
    <w:basedOn w:val="Normal"/>
    <w:next w:val="Normal"/>
    <w:uiPriority w:val="39"/>
    <w:unhideWhenUsed/>
    <w:qFormat/>
    <w:pPr>
      <w:tabs>
        <w:tab w:val="right" w:leader="dot" w:pos="9781"/>
        <w:tab w:val="right" w:leader="dot" w:pos="10195"/>
      </w:tabs>
      <w:ind w:left="1418" w:right="425" w:hanging="1418"/>
    </w:pPr>
    <w:rPr>
      <w:b/>
      <w:caps/>
      <w:color w:val="00558C"/>
      <w:sz w:val="22"/>
    </w:rPr>
  </w:style>
  <w:style w:type="paragraph" w:styleId="Subtitle">
    <w:name w:val="Subtitle"/>
    <w:basedOn w:val="Normal"/>
    <w:link w:val="SubtitleChar"/>
    <w:qFormat/>
    <w:pPr>
      <w:spacing w:after="60"/>
      <w:jc w:val="center"/>
      <w:outlineLvl w:val="1"/>
    </w:pPr>
    <w:rPr>
      <w:rFonts w:cs="Arial"/>
    </w:rPr>
  </w:style>
  <w:style w:type="paragraph" w:styleId="List">
    <w:name w:val="List"/>
    <w:basedOn w:val="Normal"/>
    <w:uiPriority w:val="99"/>
    <w:unhideWhenUsed/>
    <w:qFormat/>
    <w:pPr>
      <w:ind w:left="360" w:hanging="360"/>
      <w:contextualSpacing/>
    </w:pPr>
    <w:rPr>
      <w:sz w:val="22"/>
    </w:rPr>
  </w:style>
  <w:style w:type="paragraph" w:styleId="FootnoteText">
    <w:name w:val="footnote text"/>
    <w:basedOn w:val="Normal"/>
    <w:link w:val="FootnoteTextChar"/>
    <w:uiPriority w:val="99"/>
    <w:unhideWhenUsed/>
    <w:qFormat/>
    <w:pPr>
      <w:tabs>
        <w:tab w:val="left" w:pos="425"/>
      </w:tabs>
      <w:spacing w:line="240" w:lineRule="auto"/>
      <w:ind w:left="425" w:hanging="425"/>
    </w:pPr>
    <w:rPr>
      <w:szCs w:val="24"/>
      <w:vertAlign w:val="superscript"/>
    </w:rPr>
  </w:style>
  <w:style w:type="paragraph" w:styleId="TOC6">
    <w:name w:val="toc 6"/>
    <w:basedOn w:val="Normal"/>
    <w:next w:val="Normal"/>
    <w:qFormat/>
    <w:pPr>
      <w:spacing w:line="240" w:lineRule="auto"/>
      <w:ind w:left="960"/>
    </w:pPr>
    <w:rPr>
      <w:rFonts w:ascii="Arial" w:eastAsia="Times New Roman" w:hAnsi="Arial" w:cs="Times New Roman"/>
      <w:sz w:val="20"/>
      <w:szCs w:val="20"/>
    </w:rPr>
  </w:style>
  <w:style w:type="paragraph" w:styleId="BodyTextIndent3">
    <w:name w:val="Body Text Indent 3"/>
    <w:basedOn w:val="Normal"/>
    <w:link w:val="BodyTextIndent3Char"/>
    <w:semiHidden/>
    <w:unhideWhenUsed/>
    <w:qFormat/>
    <w:pPr>
      <w:spacing w:after="120"/>
      <w:ind w:left="360"/>
    </w:pPr>
    <w:rPr>
      <w:sz w:val="16"/>
      <w:szCs w:val="16"/>
    </w:rPr>
  </w:style>
  <w:style w:type="paragraph" w:styleId="TableofFigures">
    <w:name w:val="table of figures"/>
    <w:basedOn w:val="Normal"/>
    <w:next w:val="Normal"/>
    <w:uiPriority w:val="99"/>
    <w:qFormat/>
    <w:pPr>
      <w:tabs>
        <w:tab w:val="right" w:leader="dot" w:pos="9781"/>
      </w:tabs>
      <w:spacing w:after="60"/>
      <w:ind w:left="1276" w:right="425" w:hanging="1276"/>
    </w:pPr>
    <w:rPr>
      <w:i/>
      <w:color w:val="00558C"/>
      <w:sz w:val="22"/>
    </w:rPr>
  </w:style>
  <w:style w:type="paragraph" w:styleId="TOC2">
    <w:name w:val="toc 2"/>
    <w:basedOn w:val="Normal"/>
    <w:next w:val="Normal"/>
    <w:uiPriority w:val="39"/>
    <w:qFormat/>
    <w:pPr>
      <w:tabs>
        <w:tab w:val="right" w:leader="dot" w:pos="9781"/>
      </w:tabs>
      <w:spacing w:after="40" w:line="300" w:lineRule="atLeast"/>
      <w:ind w:left="709" w:right="425" w:hanging="709"/>
    </w:pPr>
    <w:rPr>
      <w:color w:val="4F81BD" w:themeColor="accent1"/>
      <w:sz w:val="22"/>
    </w:rPr>
  </w:style>
  <w:style w:type="paragraph" w:styleId="TOC9">
    <w:name w:val="toc 9"/>
    <w:basedOn w:val="Normal"/>
    <w:next w:val="Normal"/>
    <w:qFormat/>
    <w:pPr>
      <w:spacing w:line="240" w:lineRule="auto"/>
      <w:ind w:left="1680"/>
    </w:pPr>
    <w:rPr>
      <w:rFonts w:ascii="Arial" w:eastAsia="Times New Roman" w:hAnsi="Arial" w:cs="Times New Roman"/>
      <w:sz w:val="20"/>
      <w:szCs w:val="20"/>
    </w:rPr>
  </w:style>
  <w:style w:type="paragraph" w:styleId="HTMLPreformatted">
    <w:name w:val="HTML Preformatted"/>
    <w:basedOn w:val="Normal"/>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Times New Roman" w:hint="eastAsia"/>
      <w:sz w:val="24"/>
      <w:szCs w:val="24"/>
      <w:lang w:val="en-US" w:eastAsia="zh-CN"/>
    </w:rPr>
  </w:style>
  <w:style w:type="paragraph" w:styleId="NormalWeb">
    <w:name w:val="Normal (Web)"/>
    <w:basedOn w:val="Normal"/>
    <w:uiPriority w:val="99"/>
    <w:qFormat/>
    <w:pPr>
      <w:spacing w:line="240" w:lineRule="auto"/>
    </w:pPr>
    <w:rPr>
      <w:rFonts w:ascii="Arial" w:eastAsia="Times New Roman" w:hAnsi="Arial" w:cs="Times New Roman"/>
      <w:sz w:val="22"/>
      <w:szCs w:val="24"/>
    </w:rPr>
  </w:style>
  <w:style w:type="paragraph" w:styleId="Index1">
    <w:name w:val="index 1"/>
    <w:basedOn w:val="Normal"/>
    <w:next w:val="Normal"/>
    <w:semiHidden/>
    <w:unhideWhenUsed/>
    <w:qFormat/>
    <w:pPr>
      <w:spacing w:line="240" w:lineRule="auto"/>
      <w:ind w:left="180" w:hanging="180"/>
    </w:pPr>
  </w:style>
  <w:style w:type="paragraph" w:styleId="Title">
    <w:name w:val="Title"/>
    <w:basedOn w:val="Normal"/>
    <w:link w:val="TitleChar"/>
    <w:qFormat/>
    <w:pPr>
      <w:spacing w:before="180" w:after="240" w:line="240" w:lineRule="auto"/>
      <w:jc w:val="center"/>
      <w:outlineLvl w:val="0"/>
    </w:pPr>
    <w:rPr>
      <w:rFonts w:ascii="Arial Bold" w:eastAsia="Times New Roman" w:hAnsi="Arial Bold" w:cs="Arial"/>
      <w:b/>
      <w:bCs/>
      <w:caps/>
      <w:color w:val="00558C"/>
      <w:kern w:val="28"/>
      <w:sz w:val="28"/>
      <w:szCs w:val="32"/>
      <w:lang w:eastAsia="en-GB"/>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uiPriority w:val="59"/>
    <w:qFormat/>
    <w:rPr>
      <w:rFonts w:asciiTheme="minorHAnsi" w:eastAsiaTheme="minorHAnsi" w:hAnsiTheme="minorHAnsi" w:cstheme="minorBid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styleId="MediumShading1">
    <w:name w:val="Medium Shading 1"/>
    <w:basedOn w:val="TableNormal"/>
    <w:uiPriority w:val="63"/>
    <w:qFormat/>
    <w:rPr>
      <w:rFonts w:asciiTheme="minorHAnsi" w:eastAsiaTheme="minorHAnsi" w:hAnsiTheme="minorHAnsi" w:cstheme="minorBidi"/>
      <w:sz w:val="22"/>
      <w:szCs w:val="22"/>
      <w:lang w:val="fr-FR"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auto"/>
        </w:tcBorders>
        <w:shd w:val="clear" w:color="auto" w:fill="C0504D"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auto"/>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auto"/>
          <w:tl2br w:val="nil"/>
          <w:tr2bl w:val="nil"/>
        </w:tcBorders>
        <w:shd w:val="clear" w:color="auto" w:fill="F2DBDB" w:themeFill="accent2" w:themeFillTint="33"/>
      </w:tcPr>
    </w:tblStylePr>
  </w:style>
  <w:style w:type="character" w:styleId="PageNumber">
    <w:name w:val="page number"/>
    <w:qFormat/>
    <w:rPr>
      <w:rFonts w:asciiTheme="minorHAnsi" w:hAnsiTheme="minorHAnsi"/>
      <w:sz w:val="15"/>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basedOn w:val="DefaultParagraphFont"/>
    <w:uiPriority w:val="99"/>
    <w:unhideWhenUsed/>
    <w:qFormat/>
    <w:rPr>
      <w:color w:val="4F81BD" w:themeColor="accent1"/>
      <w:u w:val="single"/>
    </w:rPr>
  </w:style>
  <w:style w:type="character" w:styleId="CommentReference">
    <w:name w:val="annotation reference"/>
    <w:basedOn w:val="DefaultParagraphFont"/>
    <w:unhideWhenUsed/>
    <w:qFormat/>
    <w:rPr>
      <w:sz w:val="18"/>
      <w:szCs w:val="18"/>
      <w:lang w:val="en-GB"/>
    </w:rPr>
  </w:style>
  <w:style w:type="character" w:styleId="HTMLCite">
    <w:name w:val="HTML Cite"/>
    <w:qFormat/>
    <w:rPr>
      <w:i/>
      <w:iCs/>
    </w:rPr>
  </w:style>
  <w:style w:type="character" w:styleId="FootnoteReference">
    <w:name w:val="footnote reference"/>
    <w:uiPriority w:val="99"/>
    <w:qFormat/>
    <w:rPr>
      <w:rFonts w:asciiTheme="minorHAnsi" w:hAnsiTheme="minorHAnsi"/>
      <w:sz w:val="20"/>
      <w:vertAlign w:val="superscript"/>
    </w:rPr>
  </w:style>
  <w:style w:type="character" w:customStyle="1" w:styleId="Heading5Char">
    <w:name w:val="Heading 5 Char"/>
    <w:basedOn w:val="DefaultParagraphFont"/>
    <w:link w:val="Heading5"/>
    <w:qFormat/>
    <w:rPr>
      <w:rFonts w:asciiTheme="majorHAnsi" w:eastAsiaTheme="majorEastAsia" w:hAnsiTheme="majorHAnsi" w:cstheme="majorBidi"/>
      <w:iCs/>
      <w:color w:val="00558C"/>
      <w:sz w:val="22"/>
      <w:szCs w:val="24"/>
      <w:lang w:eastAsia="en-US"/>
    </w:rPr>
  </w:style>
  <w:style w:type="character" w:customStyle="1" w:styleId="Heading1Char">
    <w:name w:val="Heading 1 Char"/>
    <w:basedOn w:val="DefaultParagraphFont"/>
    <w:link w:val="Heading1"/>
    <w:qFormat/>
    <w:rPr>
      <w:rFonts w:eastAsiaTheme="majorEastAsia" w:cstheme="majorBidi"/>
      <w:b/>
      <w:bCs/>
      <w:caps/>
      <w:color w:val="00558C"/>
      <w:sz w:val="28"/>
      <w:szCs w:val="24"/>
      <w:lang w:eastAsia="en-US"/>
    </w:rPr>
  </w:style>
  <w:style w:type="character" w:customStyle="1" w:styleId="Heading2Char">
    <w:name w:val="Heading 2 Char"/>
    <w:basedOn w:val="DefaultParagraphFont"/>
    <w:link w:val="Heading2"/>
    <w:qFormat/>
    <w:rPr>
      <w:rFonts w:asciiTheme="majorHAnsi" w:eastAsiaTheme="majorEastAsia" w:hAnsiTheme="majorHAnsi" w:cstheme="majorBidi"/>
      <w:b/>
      <w:caps/>
      <w:color w:val="00558C"/>
      <w:sz w:val="24"/>
      <w:szCs w:val="24"/>
      <w:lang w:eastAsia="en-US"/>
    </w:rPr>
  </w:style>
  <w:style w:type="paragraph" w:customStyle="1" w:styleId="Annex">
    <w:name w:val="Annex"/>
    <w:next w:val="Normal"/>
    <w:link w:val="AnnexChar"/>
    <w:qFormat/>
    <w:pPr>
      <w:numPr>
        <w:numId w:val="3"/>
      </w:numPr>
      <w:spacing w:after="360" w:line="276" w:lineRule="auto"/>
    </w:pPr>
    <w:rPr>
      <w:rFonts w:asciiTheme="minorHAnsi" w:eastAsiaTheme="minorHAnsi" w:hAnsiTheme="minorHAnsi" w:cstheme="minorBidi"/>
      <w:b/>
      <w:caps/>
      <w:color w:val="00558C"/>
      <w:sz w:val="28"/>
      <w:szCs w:val="22"/>
      <w:lang w:val="en-GB" w:eastAsia="en-US"/>
    </w:rPr>
  </w:style>
  <w:style w:type="paragraph" w:customStyle="1" w:styleId="AnnexFigure">
    <w:name w:val="Annex Figure"/>
    <w:basedOn w:val="Normal"/>
    <w:next w:val="Normal"/>
    <w:qFormat/>
    <w:pPr>
      <w:numPr>
        <w:numId w:val="4"/>
      </w:numPr>
      <w:spacing w:before="120" w:after="120"/>
      <w:jc w:val="center"/>
    </w:pPr>
    <w:rPr>
      <w:i/>
    </w:rPr>
  </w:style>
  <w:style w:type="paragraph" w:customStyle="1" w:styleId="AnnexHeading1">
    <w:name w:val="Annex Heading 1"/>
    <w:basedOn w:val="Normal"/>
    <w:next w:val="BodyText"/>
    <w:qFormat/>
    <w:pPr>
      <w:numPr>
        <w:numId w:val="5"/>
      </w:numPr>
      <w:spacing w:before="120" w:after="120"/>
    </w:pPr>
    <w:rPr>
      <w:rFonts w:cs="Arial"/>
      <w:b/>
      <w:caps/>
      <w:sz w:val="24"/>
    </w:rPr>
  </w:style>
  <w:style w:type="paragraph" w:customStyle="1" w:styleId="AnnexHeading2">
    <w:name w:val="Annex Heading 2"/>
    <w:basedOn w:val="Normal"/>
    <w:next w:val="BodyText"/>
    <w:qFormat/>
    <w:pPr>
      <w:numPr>
        <w:ilvl w:val="1"/>
        <w:numId w:val="5"/>
      </w:numPr>
      <w:spacing w:before="120" w:after="120"/>
    </w:pPr>
    <w:rPr>
      <w:rFonts w:cs="Arial"/>
      <w:b/>
    </w:rPr>
  </w:style>
  <w:style w:type="paragraph" w:customStyle="1" w:styleId="AnnexHeading3">
    <w:name w:val="Annex Heading 3"/>
    <w:basedOn w:val="Normal"/>
    <w:next w:val="Normal"/>
    <w:qFormat/>
    <w:pPr>
      <w:numPr>
        <w:ilvl w:val="2"/>
        <w:numId w:val="5"/>
      </w:numPr>
      <w:spacing w:before="120" w:after="120"/>
    </w:pPr>
    <w:rPr>
      <w:rFonts w:cs="Arial"/>
    </w:rPr>
  </w:style>
  <w:style w:type="paragraph" w:customStyle="1" w:styleId="AnnexHeading4">
    <w:name w:val="Annex Heading 4"/>
    <w:basedOn w:val="Normal"/>
    <w:next w:val="BodyText"/>
    <w:qFormat/>
    <w:pPr>
      <w:numPr>
        <w:ilvl w:val="3"/>
        <w:numId w:val="5"/>
      </w:numPr>
      <w:spacing w:before="120" w:after="120"/>
    </w:pPr>
    <w:rPr>
      <w:rFonts w:cs="Arial"/>
    </w:rPr>
  </w:style>
  <w:style w:type="paragraph" w:customStyle="1" w:styleId="AnnexTable">
    <w:name w:val="Annex Table"/>
    <w:basedOn w:val="Normal"/>
    <w:next w:val="Normal"/>
    <w:qFormat/>
    <w:pPr>
      <w:numPr>
        <w:numId w:val="6"/>
      </w:numPr>
      <w:tabs>
        <w:tab w:val="left" w:pos="1418"/>
      </w:tabs>
      <w:spacing w:before="120" w:after="120"/>
      <w:jc w:val="center"/>
    </w:pPr>
    <w:rPr>
      <w:i/>
    </w:rPr>
  </w:style>
  <w:style w:type="character" w:customStyle="1" w:styleId="BodyTextChar">
    <w:name w:val="Body Text Char"/>
    <w:basedOn w:val="DefaultParagraphFont"/>
    <w:link w:val="BodyText"/>
    <w:qFormat/>
    <w:rPr>
      <w:rFonts w:asciiTheme="minorHAnsi" w:eastAsiaTheme="minorHAnsi" w:hAnsiTheme="minorHAnsi" w:cstheme="minorBidi"/>
      <w:sz w:val="22"/>
      <w:szCs w:val="22"/>
      <w:lang w:eastAsia="en-US"/>
    </w:rPr>
  </w:style>
  <w:style w:type="paragraph" w:customStyle="1" w:styleId="Bullet1">
    <w:name w:val="Bullet 1"/>
    <w:basedOn w:val="Normal"/>
    <w:qFormat/>
    <w:pPr>
      <w:numPr>
        <w:numId w:val="7"/>
      </w:numPr>
      <w:spacing w:after="120"/>
      <w:ind w:left="992" w:hanging="425"/>
    </w:pPr>
    <w:rPr>
      <w:color w:val="000000" w:themeColor="text1"/>
      <w:sz w:val="22"/>
    </w:rPr>
  </w:style>
  <w:style w:type="paragraph" w:customStyle="1" w:styleId="Bullet1text">
    <w:name w:val="Bullet 1 text"/>
    <w:basedOn w:val="Normal"/>
    <w:qFormat/>
    <w:pPr>
      <w:suppressAutoHyphens/>
      <w:spacing w:after="120" w:line="240" w:lineRule="auto"/>
      <w:ind w:left="992"/>
      <w:jc w:val="both"/>
    </w:pPr>
    <w:rPr>
      <w:rFonts w:eastAsia="Times New Roman" w:cs="Times New Roman"/>
      <w:sz w:val="22"/>
      <w:szCs w:val="20"/>
      <w:lang w:eastAsia="en-GB"/>
    </w:rPr>
  </w:style>
  <w:style w:type="paragraph" w:customStyle="1" w:styleId="Bullet2">
    <w:name w:val="Bullet 2"/>
    <w:basedOn w:val="Normal"/>
    <w:link w:val="Bullet2Char"/>
    <w:qFormat/>
    <w:pPr>
      <w:numPr>
        <w:numId w:val="8"/>
      </w:numPr>
      <w:spacing w:after="120"/>
      <w:ind w:left="1276" w:hanging="425"/>
    </w:pPr>
    <w:rPr>
      <w:color w:val="000000" w:themeColor="text1"/>
      <w:sz w:val="22"/>
    </w:rPr>
  </w:style>
  <w:style w:type="paragraph" w:customStyle="1" w:styleId="Bullet2text">
    <w:name w:val="Bullet 2 text"/>
    <w:basedOn w:val="Normal"/>
    <w:qFormat/>
    <w:pPr>
      <w:suppressAutoHyphens/>
      <w:spacing w:after="120" w:line="240" w:lineRule="auto"/>
      <w:ind w:left="1701" w:hanging="425"/>
      <w:jc w:val="both"/>
    </w:pPr>
    <w:rPr>
      <w:rFonts w:eastAsia="Times New Roman" w:cs="Times New Roman"/>
      <w:sz w:val="22"/>
      <w:szCs w:val="20"/>
      <w:lang w:eastAsia="en-GB"/>
    </w:rPr>
  </w:style>
  <w:style w:type="paragraph" w:customStyle="1" w:styleId="Bullet3">
    <w:name w:val="Bullet 3"/>
    <w:basedOn w:val="Normal"/>
    <w:qFormat/>
    <w:pPr>
      <w:numPr>
        <w:numId w:val="9"/>
      </w:numPr>
      <w:spacing w:after="120" w:line="240" w:lineRule="auto"/>
      <w:ind w:left="1701" w:hanging="425"/>
    </w:pPr>
    <w:rPr>
      <w:rFonts w:eastAsia="Times New Roman" w:cs="Times New Roman"/>
      <w:sz w:val="20"/>
      <w:szCs w:val="20"/>
      <w:lang w:eastAsia="en-GB"/>
    </w:rPr>
  </w:style>
  <w:style w:type="paragraph" w:customStyle="1" w:styleId="Bullet3text">
    <w:name w:val="Bullet 3 text"/>
    <w:basedOn w:val="Normal"/>
    <w:qFormat/>
    <w:pPr>
      <w:suppressAutoHyphens/>
      <w:spacing w:after="120" w:line="240" w:lineRule="auto"/>
      <w:ind w:left="1701"/>
    </w:pPr>
    <w:rPr>
      <w:rFonts w:eastAsia="Times New Roman" w:cs="Times New Roman"/>
      <w:sz w:val="20"/>
      <w:szCs w:val="20"/>
      <w:lang w:eastAsia="en-GB"/>
    </w:rPr>
  </w:style>
  <w:style w:type="paragraph" w:customStyle="1" w:styleId="Figure">
    <w:name w:val="Figure_#"/>
    <w:basedOn w:val="Normal"/>
    <w:next w:val="Normal"/>
    <w:qFormat/>
    <w:pPr>
      <w:numPr>
        <w:numId w:val="10"/>
      </w:numPr>
      <w:spacing w:before="120" w:after="120"/>
      <w:jc w:val="center"/>
    </w:pPr>
    <w:rPr>
      <w:i/>
      <w:szCs w:val="20"/>
    </w:rPr>
  </w:style>
  <w:style w:type="character" w:customStyle="1" w:styleId="FooterChar">
    <w:name w:val="Footer Char"/>
    <w:basedOn w:val="DefaultParagraphFont"/>
    <w:link w:val="Footer"/>
    <w:uiPriority w:val="99"/>
    <w:qFormat/>
    <w:rPr>
      <w:rFonts w:asciiTheme="minorHAnsi" w:eastAsiaTheme="minorHAnsi" w:hAnsiTheme="minorHAnsi" w:cstheme="minorBidi"/>
      <w:szCs w:val="22"/>
      <w:lang w:eastAsia="en-US"/>
    </w:rPr>
  </w:style>
  <w:style w:type="character" w:customStyle="1" w:styleId="HeaderChar">
    <w:name w:val="Header Char"/>
    <w:basedOn w:val="DefaultParagraphFont"/>
    <w:link w:val="Header"/>
    <w:qFormat/>
    <w:rPr>
      <w:rFonts w:asciiTheme="minorHAnsi" w:eastAsiaTheme="minorHAnsi" w:hAnsiTheme="minorHAnsi" w:cstheme="minorBidi"/>
      <w:szCs w:val="22"/>
      <w:lang w:eastAsia="en-US"/>
    </w:rPr>
  </w:style>
  <w:style w:type="character" w:customStyle="1" w:styleId="Heading3Char">
    <w:name w:val="Heading 3 Char"/>
    <w:basedOn w:val="DefaultParagraphFont"/>
    <w:link w:val="Heading3"/>
    <w:qFormat/>
    <w:rPr>
      <w:rFonts w:asciiTheme="majorHAnsi" w:eastAsiaTheme="majorEastAsia" w:hAnsiTheme="majorHAnsi" w:cstheme="majorBidi"/>
      <w:b/>
      <w:bCs/>
      <w:smallCaps/>
      <w:color w:val="00558C"/>
      <w:sz w:val="24"/>
      <w:szCs w:val="24"/>
      <w:lang w:eastAsia="en-US"/>
    </w:rPr>
  </w:style>
  <w:style w:type="character" w:customStyle="1" w:styleId="Heading4Char">
    <w:name w:val="Heading 4 Char"/>
    <w:basedOn w:val="DefaultParagraphFont"/>
    <w:link w:val="Heading4"/>
    <w:qFormat/>
    <w:rPr>
      <w:rFonts w:asciiTheme="majorHAnsi" w:eastAsiaTheme="majorEastAsia" w:hAnsiTheme="majorHAnsi" w:cstheme="majorBidi"/>
      <w:b/>
      <w:iCs/>
      <w:color w:val="00558C"/>
      <w:sz w:val="22"/>
      <w:szCs w:val="24"/>
      <w:lang w:eastAsia="en-US"/>
    </w:rPr>
  </w:style>
  <w:style w:type="character" w:customStyle="1" w:styleId="Heading6Char">
    <w:name w:val="Heading 6 Char"/>
    <w:basedOn w:val="DefaultParagraphFont"/>
    <w:link w:val="Heading6"/>
    <w:qFormat/>
    <w:rPr>
      <w:rFonts w:asciiTheme="majorHAnsi" w:eastAsiaTheme="majorEastAsia" w:hAnsiTheme="majorHAnsi" w:cstheme="majorBidi"/>
      <w:i/>
      <w:iCs/>
      <w:color w:val="244061" w:themeColor="accent1" w:themeShade="80"/>
      <w:sz w:val="18"/>
      <w:szCs w:val="22"/>
      <w:lang w:eastAsia="en-US"/>
    </w:rPr>
  </w:style>
  <w:style w:type="character" w:customStyle="1" w:styleId="Heading7Char">
    <w:name w:val="Heading 7 Char"/>
    <w:basedOn w:val="DefaultParagraphFont"/>
    <w:link w:val="Heading7"/>
    <w:qFormat/>
    <w:rPr>
      <w:rFonts w:asciiTheme="majorHAnsi" w:eastAsiaTheme="majorEastAsia" w:hAnsiTheme="majorHAnsi" w:cstheme="majorBidi"/>
      <w:i/>
      <w:iCs/>
      <w:color w:val="404040" w:themeColor="text1" w:themeTint="BF"/>
      <w:sz w:val="18"/>
      <w:szCs w:val="22"/>
      <w:lang w:eastAsia="en-US"/>
    </w:rPr>
  </w:style>
  <w:style w:type="character" w:customStyle="1" w:styleId="Heading8Char">
    <w:name w:val="Heading 8 Char"/>
    <w:basedOn w:val="DefaultParagraphFont"/>
    <w:link w:val="Heading8"/>
    <w:qFormat/>
    <w:rPr>
      <w:rFonts w:asciiTheme="majorHAnsi" w:eastAsiaTheme="majorEastAsia" w:hAnsiTheme="majorHAnsi" w:cstheme="majorBidi"/>
      <w:color w:val="404040" w:themeColor="text1" w:themeTint="BF"/>
      <w:lang w:eastAsia="en-US"/>
    </w:rPr>
  </w:style>
  <w:style w:type="character" w:customStyle="1" w:styleId="Heading9Char">
    <w:name w:val="Heading 9 Char"/>
    <w:basedOn w:val="DefaultParagraphFont"/>
    <w:link w:val="Heading9"/>
    <w:qFormat/>
    <w:rPr>
      <w:rFonts w:asciiTheme="majorHAnsi" w:eastAsiaTheme="majorEastAsia" w:hAnsiTheme="majorHAnsi" w:cstheme="majorBidi"/>
      <w:i/>
      <w:iCs/>
      <w:color w:val="404040" w:themeColor="text1" w:themeTint="BF"/>
      <w:lang w:eastAsia="en-US"/>
    </w:rPr>
  </w:style>
  <w:style w:type="paragraph" w:customStyle="1" w:styleId="List1">
    <w:name w:val="List 1"/>
    <w:basedOn w:val="Normal"/>
    <w:qFormat/>
    <w:pPr>
      <w:numPr>
        <w:numId w:val="11"/>
      </w:numPr>
      <w:tabs>
        <w:tab w:val="left" w:pos="567"/>
      </w:tabs>
      <w:spacing w:after="120" w:line="240" w:lineRule="auto"/>
      <w:jc w:val="both"/>
    </w:pPr>
    <w:rPr>
      <w:rFonts w:eastAsia="Times New Roman" w:cs="Times New Roman"/>
      <w:sz w:val="22"/>
      <w:szCs w:val="20"/>
      <w:lang w:eastAsia="en-GB"/>
    </w:rPr>
  </w:style>
  <w:style w:type="paragraph" w:customStyle="1" w:styleId="List1indent2">
    <w:name w:val="List 1 indent 2"/>
    <w:basedOn w:val="Normal"/>
    <w:qFormat/>
    <w:pPr>
      <w:widowControl w:val="0"/>
      <w:numPr>
        <w:ilvl w:val="2"/>
        <w:numId w:val="11"/>
      </w:numPr>
      <w:autoSpaceDE w:val="0"/>
      <w:autoSpaceDN w:val="0"/>
      <w:adjustRightInd w:val="0"/>
      <w:spacing w:after="120"/>
      <w:jc w:val="both"/>
    </w:pPr>
    <w:rPr>
      <w:rFonts w:cs="Arial"/>
      <w:sz w:val="20"/>
      <w:szCs w:val="20"/>
    </w:rPr>
  </w:style>
  <w:style w:type="paragraph" w:customStyle="1" w:styleId="List1indent2text">
    <w:name w:val="List 1 indent 2 text"/>
    <w:basedOn w:val="Normal"/>
    <w:qFormat/>
    <w:pPr>
      <w:spacing w:after="60"/>
      <w:ind w:left="1701"/>
      <w:jc w:val="both"/>
    </w:pPr>
    <w:rPr>
      <w:rFonts w:cs="Arial"/>
      <w:sz w:val="20"/>
    </w:rPr>
  </w:style>
  <w:style w:type="paragraph" w:customStyle="1" w:styleId="List1indenttext">
    <w:name w:val="List 1 indent text"/>
    <w:basedOn w:val="Normal"/>
    <w:qFormat/>
    <w:pPr>
      <w:spacing w:after="120"/>
      <w:ind w:left="1134"/>
      <w:jc w:val="both"/>
    </w:pPr>
    <w:rPr>
      <w:szCs w:val="20"/>
    </w:rPr>
  </w:style>
  <w:style w:type="paragraph" w:customStyle="1" w:styleId="List1text">
    <w:name w:val="List 1 text"/>
    <w:basedOn w:val="Normal"/>
    <w:qFormat/>
    <w:pPr>
      <w:spacing w:after="120" w:line="240" w:lineRule="auto"/>
      <w:ind w:left="567"/>
      <w:jc w:val="both"/>
    </w:pPr>
    <w:rPr>
      <w:rFonts w:eastAsia="Times New Roman" w:cs="Times New Roman"/>
      <w:sz w:val="22"/>
      <w:szCs w:val="20"/>
      <w:lang w:eastAsia="en-GB"/>
    </w:rPr>
  </w:style>
  <w:style w:type="paragraph" w:customStyle="1" w:styleId="Table">
    <w:name w:val="Table_#"/>
    <w:basedOn w:val="Normal"/>
    <w:next w:val="Normal"/>
    <w:qFormat/>
    <w:pPr>
      <w:numPr>
        <w:numId w:val="12"/>
      </w:numPr>
      <w:spacing w:before="120" w:after="120"/>
      <w:jc w:val="center"/>
    </w:pPr>
    <w:rPr>
      <w:i/>
      <w:szCs w:val="20"/>
    </w:rPr>
  </w:style>
  <w:style w:type="character" w:customStyle="1" w:styleId="BodyTextIndentChar">
    <w:name w:val="Body Text Indent Char"/>
    <w:link w:val="BodyTextIndent"/>
    <w:qFormat/>
    <w:rPr>
      <w:rFonts w:ascii="Arial" w:hAnsi="Arial" w:cs="Times New Roman"/>
      <w:szCs w:val="24"/>
    </w:rPr>
  </w:style>
  <w:style w:type="character" w:customStyle="1" w:styleId="BodyTextIndent2Char">
    <w:name w:val="Body Text Indent 2 Char"/>
    <w:link w:val="BodyTextIndent2"/>
    <w:qFormat/>
    <w:rPr>
      <w:rFonts w:ascii="Arial" w:hAnsi="Arial" w:cs="Times New Roman"/>
      <w:szCs w:val="24"/>
      <w:lang w:eastAsia="de-DE"/>
    </w:rPr>
  </w:style>
  <w:style w:type="character" w:customStyle="1" w:styleId="FootnoteTextChar">
    <w:name w:val="Footnote Text Char"/>
    <w:basedOn w:val="DefaultParagraphFont"/>
    <w:link w:val="FootnoteText"/>
    <w:uiPriority w:val="99"/>
    <w:qFormat/>
    <w:rPr>
      <w:rFonts w:asciiTheme="minorHAnsi" w:eastAsiaTheme="minorHAnsi" w:hAnsiTheme="minorHAnsi" w:cstheme="minorBidi"/>
      <w:sz w:val="18"/>
      <w:szCs w:val="24"/>
      <w:vertAlign w:val="superscript"/>
      <w:lang w:eastAsia="en-US"/>
    </w:rPr>
  </w:style>
  <w:style w:type="character" w:customStyle="1" w:styleId="SubtitleChar">
    <w:name w:val="Subtitle Char"/>
    <w:link w:val="Subtitle"/>
    <w:qFormat/>
    <w:rPr>
      <w:rFonts w:ascii="Arial" w:hAnsi="Arial" w:cs="Arial"/>
      <w:szCs w:val="24"/>
    </w:rPr>
  </w:style>
  <w:style w:type="character" w:customStyle="1" w:styleId="TitleChar">
    <w:name w:val="Title Char"/>
    <w:basedOn w:val="DefaultParagraphFont"/>
    <w:link w:val="Title"/>
    <w:qFormat/>
    <w:rPr>
      <w:rFonts w:ascii="Arial Bold" w:eastAsia="Times New Roman" w:hAnsi="Arial Bold" w:cs="Arial"/>
      <w:b/>
      <w:bCs/>
      <w:caps/>
      <w:color w:val="00558C"/>
      <w:kern w:val="28"/>
      <w:sz w:val="28"/>
      <w:szCs w:val="32"/>
    </w:rPr>
  </w:style>
  <w:style w:type="paragraph" w:customStyle="1" w:styleId="List1indent1">
    <w:name w:val="List 1 indent 1"/>
    <w:basedOn w:val="Normal"/>
    <w:qFormat/>
    <w:pPr>
      <w:numPr>
        <w:ilvl w:val="1"/>
        <w:numId w:val="11"/>
      </w:numPr>
      <w:spacing w:after="120"/>
      <w:jc w:val="both"/>
    </w:pPr>
    <w:rPr>
      <w:rFonts w:cs="Arial"/>
    </w:rPr>
  </w:style>
  <w:style w:type="paragraph" w:customStyle="1" w:styleId="List1indent1text">
    <w:name w:val="List 1 indent 1 text"/>
    <w:basedOn w:val="Normal"/>
    <w:qFormat/>
    <w:pPr>
      <w:spacing w:after="120"/>
      <w:ind w:left="1134"/>
      <w:jc w:val="both"/>
    </w:pPr>
    <w:rPr>
      <w:rFonts w:cs="Arial"/>
      <w:lang w:eastAsia="fr-FR"/>
    </w:rPr>
  </w:style>
  <w:style w:type="paragraph" w:customStyle="1" w:styleId="References">
    <w:name w:val="References"/>
    <w:basedOn w:val="Normal"/>
    <w:qFormat/>
    <w:pPr>
      <w:tabs>
        <w:tab w:val="left" w:pos="0"/>
      </w:tabs>
      <w:spacing w:after="120"/>
      <w:ind w:left="567" w:hanging="567"/>
    </w:pPr>
    <w:rPr>
      <w:szCs w:val="20"/>
    </w:rPr>
  </w:style>
  <w:style w:type="paragraph" w:customStyle="1" w:styleId="AppendixHeading1">
    <w:name w:val="Appendix Heading 1"/>
    <w:basedOn w:val="Normal"/>
    <w:next w:val="BodyText"/>
    <w:qFormat/>
    <w:pPr>
      <w:numPr>
        <w:numId w:val="13"/>
      </w:numPr>
      <w:spacing w:before="120" w:after="120"/>
    </w:pPr>
    <w:rPr>
      <w:rFonts w:cs="Arial"/>
      <w:b/>
      <w:caps/>
      <w:sz w:val="24"/>
    </w:rPr>
  </w:style>
  <w:style w:type="paragraph" w:customStyle="1" w:styleId="AppendixHeading2">
    <w:name w:val="Appendix Heading 2"/>
    <w:basedOn w:val="Normal"/>
    <w:next w:val="BodyText"/>
    <w:qFormat/>
    <w:pPr>
      <w:numPr>
        <w:ilvl w:val="1"/>
        <w:numId w:val="13"/>
      </w:numPr>
      <w:spacing w:before="120" w:after="120"/>
    </w:pPr>
    <w:rPr>
      <w:rFonts w:cs="Arial"/>
      <w:b/>
    </w:rPr>
  </w:style>
  <w:style w:type="paragraph" w:customStyle="1" w:styleId="AppendixHeading3">
    <w:name w:val="Appendix Heading 3"/>
    <w:basedOn w:val="Normal"/>
    <w:next w:val="Normal"/>
    <w:qFormat/>
    <w:pPr>
      <w:numPr>
        <w:ilvl w:val="2"/>
        <w:numId w:val="13"/>
      </w:numPr>
      <w:spacing w:before="120" w:after="120"/>
    </w:pPr>
    <w:rPr>
      <w:rFonts w:cs="Arial"/>
    </w:rPr>
  </w:style>
  <w:style w:type="paragraph" w:customStyle="1" w:styleId="AppendixHeading4">
    <w:name w:val="Appendix Heading 4"/>
    <w:basedOn w:val="Normal"/>
    <w:next w:val="BodyText"/>
    <w:qFormat/>
    <w:pPr>
      <w:numPr>
        <w:ilvl w:val="3"/>
        <w:numId w:val="13"/>
      </w:numPr>
      <w:spacing w:before="120" w:after="120"/>
    </w:pPr>
    <w:rPr>
      <w:rFonts w:cs="Arial"/>
    </w:rPr>
  </w:style>
  <w:style w:type="paragraph" w:customStyle="1" w:styleId="equation0">
    <w:name w:val="equation"/>
    <w:basedOn w:val="Normal"/>
    <w:next w:val="BodyText"/>
    <w:qFormat/>
    <w:pPr>
      <w:keepNext/>
      <w:tabs>
        <w:tab w:val="left" w:pos="142"/>
      </w:tabs>
      <w:spacing w:after="120"/>
      <w:ind w:left="1276" w:hanging="1276"/>
      <w:jc w:val="right"/>
    </w:pPr>
    <w:rPr>
      <w:rFonts w:eastAsia="Times New Roman" w:cs="Times New Roman"/>
      <w:szCs w:val="24"/>
    </w:rPr>
  </w:style>
  <w:style w:type="paragraph" w:customStyle="1" w:styleId="Appendix">
    <w:name w:val="Appendix"/>
    <w:next w:val="Normal"/>
    <w:qFormat/>
    <w:pPr>
      <w:numPr>
        <w:numId w:val="14"/>
      </w:numPr>
      <w:spacing w:before="120" w:after="240"/>
    </w:pPr>
    <w:rPr>
      <w:rFonts w:asciiTheme="majorHAnsi" w:eastAsia="Calibri" w:hAnsiTheme="majorHAnsi" w:cs="Calibri"/>
      <w:b/>
      <w:bCs/>
      <w:caps/>
      <w:color w:val="00558C"/>
      <w:sz w:val="28"/>
      <w:szCs w:val="28"/>
      <w:lang w:val="en-GB" w:eastAsia="en-US"/>
    </w:rPr>
  </w:style>
  <w:style w:type="character" w:customStyle="1" w:styleId="BalloonTextChar">
    <w:name w:val="Balloon Text Char"/>
    <w:basedOn w:val="DefaultParagraphFont"/>
    <w:link w:val="BalloonText"/>
    <w:qFormat/>
    <w:rPr>
      <w:rFonts w:ascii="Tahoma" w:eastAsiaTheme="minorHAnsi" w:hAnsi="Tahoma" w:cs="Tahoma"/>
      <w:sz w:val="16"/>
      <w:szCs w:val="16"/>
      <w:lang w:eastAsia="en-US"/>
    </w:rPr>
  </w:style>
  <w:style w:type="paragraph" w:styleId="ListParagraph">
    <w:name w:val="List Paragraph"/>
    <w:basedOn w:val="Normal"/>
    <w:uiPriority w:val="34"/>
    <w:qFormat/>
    <w:pPr>
      <w:ind w:left="720"/>
      <w:contextualSpacing/>
    </w:pPr>
  </w:style>
  <w:style w:type="character" w:customStyle="1" w:styleId="CommentTextChar">
    <w:name w:val="Comment Text Char"/>
    <w:basedOn w:val="DefaultParagraphFont"/>
    <w:link w:val="CommentText"/>
    <w:qFormat/>
    <w:rPr>
      <w:rFonts w:asciiTheme="minorHAnsi" w:eastAsiaTheme="minorHAnsi" w:hAnsiTheme="minorHAnsi" w:cstheme="minorBidi"/>
      <w:sz w:val="24"/>
      <w:szCs w:val="24"/>
      <w:lang w:eastAsia="en-US"/>
    </w:rPr>
  </w:style>
  <w:style w:type="character" w:customStyle="1" w:styleId="CommentSubjectChar">
    <w:name w:val="Comment Subject Char"/>
    <w:basedOn w:val="CommentTextChar"/>
    <w:link w:val="CommentSubject"/>
    <w:qFormat/>
    <w:rPr>
      <w:rFonts w:asciiTheme="minorHAnsi" w:eastAsiaTheme="minorHAnsi" w:hAnsiTheme="minorHAnsi" w:cstheme="minorBidi"/>
      <w:b/>
      <w:bCs/>
      <w:sz w:val="24"/>
      <w:szCs w:val="24"/>
      <w:lang w:eastAsia="en-US"/>
    </w:rPr>
  </w:style>
  <w:style w:type="paragraph" w:customStyle="1" w:styleId="Documenttype">
    <w:name w:val="Document type"/>
    <w:basedOn w:val="Normal"/>
    <w:qFormat/>
    <w:pPr>
      <w:spacing w:line="500" w:lineRule="exact"/>
      <w:ind w:left="907" w:right="907"/>
    </w:pPr>
    <w:rPr>
      <w:b/>
      <w:caps/>
      <w:color w:val="FFFFFF" w:themeColor="background1"/>
      <w:sz w:val="50"/>
      <w:szCs w:val="50"/>
    </w:rPr>
  </w:style>
  <w:style w:type="paragraph" w:customStyle="1" w:styleId="Heading1separationline">
    <w:name w:val="Heading 1 separation line"/>
    <w:basedOn w:val="Normal"/>
    <w:next w:val="BodyText"/>
    <w:qFormat/>
    <w:pPr>
      <w:pBdr>
        <w:bottom w:val="single" w:sz="8" w:space="1" w:color="4F81BD" w:themeColor="accent1"/>
      </w:pBdr>
      <w:spacing w:after="120" w:line="90" w:lineRule="exact"/>
      <w:ind w:right="8789"/>
    </w:pPr>
    <w:rPr>
      <w:color w:val="000000" w:themeColor="text1"/>
      <w:sz w:val="22"/>
    </w:rPr>
  </w:style>
  <w:style w:type="paragraph" w:customStyle="1" w:styleId="Heading2separationline">
    <w:name w:val="Heading 2 separation line"/>
    <w:basedOn w:val="Normal"/>
    <w:next w:val="BodyText"/>
    <w:qFormat/>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Normal"/>
    <w:qFormat/>
    <w:pPr>
      <w:spacing w:line="180" w:lineRule="exact"/>
      <w:jc w:val="right"/>
    </w:pPr>
    <w:rPr>
      <w:color w:val="4F81BD" w:themeColor="accent1"/>
    </w:rPr>
  </w:style>
  <w:style w:type="paragraph" w:customStyle="1" w:styleId="Editionnumber">
    <w:name w:val="Edition number"/>
    <w:basedOn w:val="Normal"/>
    <w:qFormat/>
    <w:rPr>
      <w:b/>
      <w:color w:val="4F81BD" w:themeColor="accent1"/>
      <w:sz w:val="50"/>
      <w:szCs w:val="50"/>
    </w:rPr>
  </w:style>
  <w:style w:type="paragraph" w:customStyle="1" w:styleId="Editionnumber-footer">
    <w:name w:val="Edition number - footer"/>
    <w:basedOn w:val="Footer"/>
    <w:next w:val="NoSpacing"/>
    <w:qFormat/>
    <w:pPr>
      <w:framePr w:hSpace="142" w:wrap="around" w:hAnchor="margin" w:xAlign="center" w:yAlign="bottom"/>
      <w:spacing w:before="40" w:line="180" w:lineRule="exact"/>
      <w:suppressOverlap/>
    </w:pPr>
    <w:rPr>
      <w:b/>
      <w:color w:val="4F81BD" w:themeColor="accent1"/>
      <w:sz w:val="15"/>
      <w:szCs w:val="15"/>
    </w:rPr>
  </w:style>
  <w:style w:type="paragraph" w:styleId="NoSpacing">
    <w:name w:val="No Spacing"/>
    <w:uiPriority w:val="1"/>
    <w:qFormat/>
    <w:rPr>
      <w:rFonts w:asciiTheme="minorHAnsi" w:eastAsiaTheme="minorHAnsi" w:hAnsiTheme="minorHAnsi" w:cstheme="minorBidi"/>
      <w:sz w:val="18"/>
      <w:szCs w:val="22"/>
      <w:lang w:val="en-GB" w:eastAsia="en-US"/>
    </w:rPr>
  </w:style>
  <w:style w:type="paragraph" w:customStyle="1" w:styleId="Contents">
    <w:name w:val="Contents"/>
    <w:basedOn w:val="Header"/>
    <w:qFormat/>
    <w:pPr>
      <w:pBdr>
        <w:bottom w:val="single" w:sz="8" w:space="12" w:color="4F81BD" w:themeColor="accent1"/>
      </w:pBdr>
      <w:spacing w:before="100" w:line="560" w:lineRule="exact"/>
    </w:pPr>
    <w:rPr>
      <w:b/>
      <w:caps/>
      <w:color w:val="C0504D" w:themeColor="accent2"/>
      <w:sz w:val="56"/>
      <w:szCs w:val="56"/>
    </w:rPr>
  </w:style>
  <w:style w:type="paragraph" w:customStyle="1" w:styleId="Tabletext">
    <w:name w:val="Table text"/>
    <w:basedOn w:val="Normal"/>
    <w:qFormat/>
    <w:pPr>
      <w:spacing w:before="60" w:after="60"/>
      <w:ind w:left="113" w:right="113"/>
    </w:pPr>
    <w:rPr>
      <w:color w:val="000000" w:themeColor="text1"/>
      <w:sz w:val="20"/>
    </w:rPr>
  </w:style>
  <w:style w:type="paragraph" w:customStyle="1" w:styleId="Doicumentrevisiontabletitle">
    <w:name w:val="Doicument revision table title"/>
    <w:basedOn w:val="Tabletext"/>
    <w:qFormat/>
    <w:rPr>
      <w:b/>
      <w:color w:val="00558C"/>
    </w:rPr>
  </w:style>
  <w:style w:type="paragraph" w:customStyle="1" w:styleId="Listatext">
    <w:name w:val="List a text"/>
    <w:basedOn w:val="Normal"/>
    <w:qFormat/>
    <w:pPr>
      <w:spacing w:after="120"/>
      <w:ind w:left="1134"/>
    </w:pPr>
    <w:rPr>
      <w:sz w:val="22"/>
    </w:rPr>
  </w:style>
  <w:style w:type="character" w:customStyle="1" w:styleId="Bullet2Char">
    <w:name w:val="Bullet 2 Char"/>
    <w:basedOn w:val="DefaultParagraphFont"/>
    <w:link w:val="Bullet2"/>
    <w:qFormat/>
    <w:rPr>
      <w:rFonts w:asciiTheme="minorHAnsi" w:eastAsiaTheme="minorHAnsi" w:hAnsiTheme="minorHAnsi" w:cstheme="minorBidi"/>
      <w:color w:val="000000" w:themeColor="text1"/>
      <w:sz w:val="22"/>
      <w:szCs w:val="22"/>
      <w:lang w:eastAsia="en-US"/>
    </w:rPr>
  </w:style>
  <w:style w:type="paragraph" w:customStyle="1" w:styleId="AppendixHead2">
    <w:name w:val="Appendix Head 2"/>
    <w:basedOn w:val="Appendix"/>
    <w:next w:val="Heading2separationline"/>
    <w:qFormat/>
    <w:pPr>
      <w:numPr>
        <w:ilvl w:val="2"/>
      </w:numPr>
      <w:spacing w:after="120"/>
    </w:pPr>
    <w:rPr>
      <w:rFonts w:asciiTheme="minorHAnsi" w:hAnsiTheme="minorHAnsi" w:cs="Arial"/>
      <w:sz w:val="24"/>
      <w:lang w:eastAsia="en-GB"/>
    </w:rPr>
  </w:style>
  <w:style w:type="paragraph" w:customStyle="1" w:styleId="AppendixHead3">
    <w:name w:val="Appendix Head 3"/>
    <w:basedOn w:val="Normal"/>
    <w:next w:val="BodyText"/>
    <w:qFormat/>
    <w:pPr>
      <w:numPr>
        <w:ilvl w:val="3"/>
        <w:numId w:val="14"/>
      </w:numPr>
      <w:spacing w:before="120" w:after="120" w:line="240" w:lineRule="auto"/>
    </w:pPr>
    <w:rPr>
      <w:rFonts w:eastAsia="Calibri" w:cs="Arial"/>
      <w:b/>
      <w:smallCaps/>
      <w:color w:val="00558C"/>
      <w:sz w:val="24"/>
      <w:lang w:eastAsia="en-GB"/>
    </w:rPr>
  </w:style>
  <w:style w:type="paragraph" w:customStyle="1" w:styleId="AppendixHead4">
    <w:name w:val="Appendix Head 4"/>
    <w:basedOn w:val="AppendixHead3"/>
    <w:next w:val="BodyText"/>
    <w:qFormat/>
    <w:pPr>
      <w:numPr>
        <w:ilvl w:val="4"/>
      </w:numPr>
    </w:pPr>
    <w:rPr>
      <w:smallCaps w:val="0"/>
      <w:sz w:val="22"/>
    </w:rPr>
  </w:style>
  <w:style w:type="paragraph" w:customStyle="1" w:styleId="AppendixHead5">
    <w:name w:val="Appendix Head 5"/>
    <w:basedOn w:val="AppendixHead4"/>
    <w:next w:val="BodyText"/>
    <w:qFormat/>
    <w:pPr>
      <w:ind w:left="1701" w:hanging="1701"/>
    </w:pPr>
    <w:rPr>
      <w:b w:val="0"/>
    </w:rPr>
  </w:style>
  <w:style w:type="character" w:customStyle="1" w:styleId="AnnexChar">
    <w:name w:val="Annex Char"/>
    <w:basedOn w:val="DefaultParagraphFont"/>
    <w:link w:val="Annex"/>
    <w:qFormat/>
    <w:rPr>
      <w:rFonts w:asciiTheme="minorHAnsi" w:eastAsiaTheme="minorHAnsi" w:hAnsiTheme="minorHAnsi" w:cstheme="minorBidi"/>
      <w:b/>
      <w:caps/>
      <w:color w:val="00558C"/>
      <w:sz w:val="28"/>
      <w:szCs w:val="22"/>
      <w:lang w:eastAsia="en-US"/>
    </w:rPr>
  </w:style>
  <w:style w:type="paragraph" w:customStyle="1" w:styleId="AnnexHead2">
    <w:name w:val="Annex Head 2"/>
    <w:basedOn w:val="Annex"/>
    <w:next w:val="Heading1separationline"/>
    <w:qFormat/>
    <w:pPr>
      <w:numPr>
        <w:ilvl w:val="1"/>
      </w:numPr>
      <w:spacing w:before="120" w:after="120" w:line="240" w:lineRule="auto"/>
    </w:pPr>
    <w:rPr>
      <w:rFonts w:eastAsia="Calibri" w:cs="Calibri"/>
      <w:bCs/>
      <w:sz w:val="24"/>
      <w:lang w:eastAsia="en-GB"/>
    </w:rPr>
  </w:style>
  <w:style w:type="paragraph" w:customStyle="1" w:styleId="AnnexHead3">
    <w:name w:val="Annex Head 3"/>
    <w:basedOn w:val="AnnexHead2"/>
    <w:next w:val="Heading2separationline"/>
    <w:qFormat/>
    <w:pPr>
      <w:numPr>
        <w:ilvl w:val="2"/>
      </w:numPr>
    </w:pPr>
    <w:rPr>
      <w:caps w:val="0"/>
      <w:smallCaps/>
    </w:rPr>
  </w:style>
  <w:style w:type="paragraph" w:customStyle="1" w:styleId="AnnexHead4">
    <w:name w:val="Annex Head 4"/>
    <w:basedOn w:val="AnnexHead3"/>
    <w:next w:val="BodyText"/>
    <w:qFormat/>
    <w:pPr>
      <w:numPr>
        <w:ilvl w:val="3"/>
      </w:numPr>
    </w:pPr>
    <w:rPr>
      <w:smallCaps w:val="0"/>
      <w:sz w:val="22"/>
    </w:rPr>
  </w:style>
  <w:style w:type="paragraph" w:customStyle="1" w:styleId="AnnexHead5">
    <w:name w:val="Annex Head 5"/>
    <w:basedOn w:val="Normal"/>
    <w:next w:val="BodyText"/>
    <w:qFormat/>
    <w:pPr>
      <w:numPr>
        <w:ilvl w:val="4"/>
        <w:numId w:val="3"/>
      </w:numPr>
      <w:spacing w:before="120" w:after="120" w:line="240" w:lineRule="auto"/>
      <w:ind w:left="1701" w:hanging="1701"/>
    </w:pPr>
    <w:rPr>
      <w:rFonts w:eastAsia="Calibri" w:cs="Calibri"/>
      <w:color w:val="00558C"/>
      <w:sz w:val="22"/>
      <w:lang w:eastAsia="en-GB"/>
    </w:rPr>
  </w:style>
  <w:style w:type="character" w:customStyle="1" w:styleId="BodyTextIndent3Char">
    <w:name w:val="Body Text Indent 3 Char"/>
    <w:basedOn w:val="DefaultParagraphFont"/>
    <w:link w:val="BodyTextIndent3"/>
    <w:semiHidden/>
    <w:qFormat/>
    <w:rPr>
      <w:rFonts w:asciiTheme="minorHAnsi" w:eastAsiaTheme="minorHAnsi" w:hAnsiTheme="minorHAnsi" w:cstheme="minorBidi"/>
      <w:sz w:val="16"/>
      <w:szCs w:val="16"/>
      <w:lang w:eastAsia="en-US"/>
    </w:rPr>
  </w:style>
  <w:style w:type="paragraph" w:customStyle="1" w:styleId="InsetList">
    <w:name w:val="Inset List"/>
    <w:basedOn w:val="Normal"/>
    <w:qFormat/>
    <w:pPr>
      <w:numPr>
        <w:numId w:val="15"/>
      </w:numPr>
      <w:spacing w:after="120"/>
      <w:jc w:val="both"/>
    </w:pPr>
    <w:rPr>
      <w:sz w:val="22"/>
    </w:rPr>
  </w:style>
  <w:style w:type="paragraph" w:customStyle="1" w:styleId="ListofFigures">
    <w:name w:val="List of Figures"/>
    <w:basedOn w:val="Normal"/>
    <w:next w:val="Normal"/>
    <w:qFormat/>
    <w:pPr>
      <w:spacing w:after="240" w:line="480" w:lineRule="atLeast"/>
    </w:pPr>
    <w:rPr>
      <w:b/>
      <w:color w:val="C0504D" w:themeColor="accent2"/>
      <w:sz w:val="40"/>
      <w:szCs w:val="40"/>
    </w:rPr>
  </w:style>
  <w:style w:type="paragraph" w:customStyle="1" w:styleId="Tablecaption">
    <w:name w:val="Table caption"/>
    <w:basedOn w:val="Caption"/>
    <w:next w:val="BodyText"/>
    <w:qFormat/>
    <w:pPr>
      <w:numPr>
        <w:numId w:val="16"/>
      </w:numPr>
      <w:tabs>
        <w:tab w:val="left" w:pos="851"/>
      </w:tabs>
      <w:spacing w:before="240" w:after="240"/>
      <w:jc w:val="center"/>
    </w:pPr>
    <w:rPr>
      <w:b w:val="0"/>
      <w:u w:val="none"/>
    </w:rPr>
  </w:style>
  <w:style w:type="paragraph" w:customStyle="1" w:styleId="Footereditionno">
    <w:name w:val="Footer edition no."/>
    <w:basedOn w:val="Normal"/>
    <w:qFormat/>
    <w:pPr>
      <w:tabs>
        <w:tab w:val="right" w:pos="10206"/>
      </w:tabs>
    </w:pPr>
    <w:rPr>
      <w:b/>
      <w:color w:val="00558C"/>
      <w:sz w:val="15"/>
    </w:rPr>
  </w:style>
  <w:style w:type="paragraph" w:customStyle="1" w:styleId="Lista">
    <w:name w:val="List a"/>
    <w:basedOn w:val="Normal"/>
    <w:qFormat/>
    <w:pPr>
      <w:numPr>
        <w:ilvl w:val="1"/>
        <w:numId w:val="17"/>
      </w:numPr>
      <w:spacing w:after="120" w:line="240" w:lineRule="auto"/>
      <w:jc w:val="both"/>
    </w:pPr>
    <w:rPr>
      <w:rFonts w:eastAsia="Times New Roman" w:cs="Times New Roman"/>
      <w:sz w:val="22"/>
      <w:szCs w:val="20"/>
      <w:lang w:eastAsia="en-GB"/>
    </w:rPr>
  </w:style>
  <w:style w:type="paragraph" w:customStyle="1" w:styleId="Listi">
    <w:name w:val="List i"/>
    <w:basedOn w:val="Listitext"/>
    <w:qFormat/>
    <w:pPr>
      <w:numPr>
        <w:ilvl w:val="2"/>
        <w:numId w:val="17"/>
      </w:numPr>
      <w:ind w:left="1701" w:hanging="425"/>
    </w:pPr>
  </w:style>
  <w:style w:type="paragraph" w:customStyle="1" w:styleId="Listitext">
    <w:name w:val="List i text"/>
    <w:basedOn w:val="Normal"/>
    <w:qFormat/>
    <w:pPr>
      <w:ind w:left="2268" w:hanging="567"/>
    </w:pPr>
    <w:rPr>
      <w:sz w:val="20"/>
    </w:rPr>
  </w:style>
  <w:style w:type="character" w:customStyle="1" w:styleId="DocumentMapChar">
    <w:name w:val="Document Map Char"/>
    <w:basedOn w:val="DefaultParagraphFont"/>
    <w:link w:val="DocumentMap"/>
    <w:qFormat/>
    <w:rPr>
      <w:rFonts w:ascii="Tahoma" w:eastAsia="Times New Roman" w:hAnsi="Tahoma"/>
      <w:szCs w:val="24"/>
      <w:shd w:val="clear" w:color="auto" w:fill="000080"/>
      <w:lang w:val="de-DE" w:eastAsia="de-DE"/>
    </w:rPr>
  </w:style>
  <w:style w:type="paragraph" w:customStyle="1" w:styleId="TableofTables">
    <w:name w:val="Table of Tables"/>
    <w:basedOn w:val="TableofFigures"/>
    <w:qFormat/>
    <w:pPr>
      <w:tabs>
        <w:tab w:val="left" w:pos="1134"/>
        <w:tab w:val="right" w:pos="9781"/>
      </w:tabs>
    </w:pPr>
  </w:style>
  <w:style w:type="paragraph" w:customStyle="1" w:styleId="Default">
    <w:name w:val="Default"/>
    <w:qFormat/>
    <w:pPr>
      <w:autoSpaceDE w:val="0"/>
      <w:autoSpaceDN w:val="0"/>
      <w:adjustRightInd w:val="0"/>
    </w:pPr>
    <w:rPr>
      <w:rFonts w:ascii="Arial" w:eastAsia="Times New Roman" w:hAnsi="Arial" w:cs="Arial"/>
      <w:color w:val="000000"/>
      <w:sz w:val="24"/>
      <w:szCs w:val="24"/>
      <w:lang w:val="en-GB" w:eastAsia="en-GB"/>
    </w:rPr>
  </w:style>
  <w:style w:type="table" w:customStyle="1" w:styleId="TableGrid1">
    <w:name w:val="Table Grid1"/>
    <w:basedOn w:val="TableNormal"/>
    <w:uiPriority w:val="59"/>
    <w:qFormat/>
    <w:rPr>
      <w:rFonts w:asciiTheme="minorHAnsi" w:eastAsiaTheme="minorHAnsi" w:hAnsiTheme="minorHAnsi" w:cstheme="minorBidi"/>
      <w:sz w:val="22"/>
      <w:szCs w:val="22"/>
      <w:lang w:val="en-MY"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0">
    <w:name w:val="TOC 标题1"/>
    <w:basedOn w:val="Heading1"/>
    <w:next w:val="Normal"/>
    <w:uiPriority w:val="39"/>
    <w:unhideWhenUsed/>
    <w:qFormat/>
    <w:pPr>
      <w:numPr>
        <w:numId w:val="0"/>
      </w:numPr>
      <w:spacing w:before="480" w:line="276" w:lineRule="auto"/>
      <w:outlineLvl w:val="9"/>
    </w:pPr>
    <w:rPr>
      <w:caps w:val="0"/>
      <w:color w:val="365F91" w:themeColor="accent1" w:themeShade="BF"/>
      <w:szCs w:val="28"/>
      <w:lang w:val="sv-SE"/>
    </w:rPr>
  </w:style>
  <w:style w:type="paragraph" w:customStyle="1" w:styleId="Tableinsetlist">
    <w:name w:val="Table inset list"/>
    <w:basedOn w:val="InsetList"/>
    <w:qFormat/>
    <w:pPr>
      <w:numPr>
        <w:numId w:val="18"/>
      </w:numPr>
      <w:spacing w:before="120"/>
      <w:contextualSpacing/>
    </w:pPr>
    <w:rPr>
      <w:sz w:val="20"/>
    </w:rPr>
  </w:style>
  <w:style w:type="paragraph" w:customStyle="1" w:styleId="Textedesaisie">
    <w:name w:val="Texte de saisie"/>
    <w:basedOn w:val="Normal"/>
    <w:link w:val="TextedesaisieCar"/>
    <w:qFormat/>
    <w:rPr>
      <w:color w:val="000000" w:themeColor="text1"/>
      <w:sz w:val="22"/>
    </w:rPr>
  </w:style>
  <w:style w:type="character" w:customStyle="1" w:styleId="TextedesaisieCar">
    <w:name w:val="Texte de saisie Car"/>
    <w:basedOn w:val="DefaultParagraphFont"/>
    <w:link w:val="Textedesaisie"/>
    <w:qFormat/>
    <w:rPr>
      <w:rFonts w:asciiTheme="minorHAnsi" w:eastAsiaTheme="minorHAnsi" w:hAnsiTheme="minorHAnsi" w:cstheme="minorBidi"/>
      <w:color w:val="000000" w:themeColor="text1"/>
      <w:sz w:val="22"/>
      <w:szCs w:val="22"/>
      <w:lang w:eastAsia="en-US"/>
    </w:rPr>
  </w:style>
  <w:style w:type="paragraph" w:customStyle="1" w:styleId="AnnexTablecaption">
    <w:name w:val="Annex Table caption"/>
    <w:basedOn w:val="BodyText"/>
    <w:qFormat/>
    <w:pPr>
      <w:numPr>
        <w:numId w:val="19"/>
      </w:numPr>
      <w:jc w:val="center"/>
    </w:pPr>
    <w:rPr>
      <w:i/>
      <w:color w:val="00558C"/>
      <w:lang w:eastAsia="en-GB"/>
    </w:rPr>
  </w:style>
  <w:style w:type="paragraph" w:customStyle="1" w:styleId="Figurecaption">
    <w:name w:val="Figure caption"/>
    <w:basedOn w:val="Caption"/>
    <w:next w:val="BodyText"/>
    <w:qFormat/>
    <w:pPr>
      <w:numPr>
        <w:numId w:val="20"/>
      </w:numPr>
      <w:spacing w:before="240" w:after="240"/>
      <w:jc w:val="center"/>
    </w:pPr>
    <w:rPr>
      <w:b w:val="0"/>
      <w:u w:val="none"/>
    </w:rPr>
  </w:style>
  <w:style w:type="paragraph" w:customStyle="1" w:styleId="Abbreviations">
    <w:name w:val="Abbreviations"/>
    <w:basedOn w:val="Normal"/>
    <w:qFormat/>
    <w:pPr>
      <w:spacing w:after="60"/>
      <w:ind w:left="1418" w:hanging="1418"/>
    </w:pPr>
    <w:rPr>
      <w:sz w:val="22"/>
    </w:rPr>
  </w:style>
  <w:style w:type="paragraph" w:customStyle="1" w:styleId="Tableheading">
    <w:name w:val="Table heading"/>
    <w:basedOn w:val="Normal"/>
    <w:qFormat/>
    <w:pPr>
      <w:spacing w:before="60" w:after="60"/>
      <w:ind w:left="113" w:right="113"/>
      <w:jc w:val="center"/>
    </w:pPr>
    <w:rPr>
      <w:b/>
      <w:color w:val="00558C"/>
      <w:sz w:val="20"/>
      <w:lang w:val="en-US"/>
    </w:rPr>
  </w:style>
  <w:style w:type="paragraph" w:customStyle="1" w:styleId="Footerlandscape">
    <w:name w:val="Footer landscape"/>
    <w:basedOn w:val="Normal"/>
    <w:qFormat/>
    <w:pPr>
      <w:pBdr>
        <w:top w:val="single" w:sz="4" w:space="1" w:color="auto"/>
      </w:pBdr>
      <w:tabs>
        <w:tab w:val="right" w:pos="15309"/>
      </w:tabs>
      <w:adjustRightInd w:val="0"/>
    </w:pPr>
    <w:rPr>
      <w:b/>
      <w:color w:val="00558C"/>
      <w:sz w:val="15"/>
    </w:rPr>
  </w:style>
  <w:style w:type="paragraph" w:customStyle="1" w:styleId="Documentnumber">
    <w:name w:val="Document number"/>
    <w:basedOn w:val="Normal"/>
    <w:next w:val="Normal"/>
    <w:qFormat/>
    <w:rPr>
      <w:caps/>
      <w:color w:val="00558C"/>
      <w:sz w:val="50"/>
    </w:rPr>
  </w:style>
  <w:style w:type="paragraph" w:customStyle="1" w:styleId="Documentdate">
    <w:name w:val="Document date"/>
    <w:basedOn w:val="Normal"/>
    <w:qFormat/>
    <w:rPr>
      <w:b/>
      <w:color w:val="00558C"/>
      <w:sz w:val="28"/>
    </w:rPr>
  </w:style>
  <w:style w:type="paragraph" w:customStyle="1" w:styleId="Footerportrait">
    <w:name w:val="Footer portrait"/>
    <w:basedOn w:val="Normal"/>
    <w:qFormat/>
    <w:pPr>
      <w:pBdr>
        <w:top w:val="single" w:sz="4" w:space="1" w:color="auto"/>
      </w:pBdr>
      <w:tabs>
        <w:tab w:val="right" w:pos="10206"/>
      </w:tabs>
    </w:pPr>
    <w:rPr>
      <w:b/>
      <w:color w:val="00558C"/>
      <w:sz w:val="15"/>
      <w:lang w:val="en-US"/>
    </w:rPr>
  </w:style>
  <w:style w:type="paragraph" w:customStyle="1" w:styleId="Documentname">
    <w:name w:val="Document name"/>
    <w:basedOn w:val="Documenttype"/>
    <w:qFormat/>
    <w:pPr>
      <w:ind w:left="0" w:right="0"/>
    </w:pPr>
    <w:rPr>
      <w:b w:val="0"/>
      <w:color w:val="00558C"/>
    </w:rPr>
  </w:style>
  <w:style w:type="character" w:styleId="PlaceholderText">
    <w:name w:val="Placeholder Text"/>
    <w:basedOn w:val="DefaultParagraphFont"/>
    <w:uiPriority w:val="99"/>
    <w:semiHidden/>
    <w:qFormat/>
    <w:rPr>
      <w:color w:val="808080"/>
    </w:rPr>
  </w:style>
  <w:style w:type="paragraph" w:customStyle="1" w:styleId="Style1">
    <w:name w:val="Style1"/>
    <w:basedOn w:val="Tableheading"/>
    <w:qFormat/>
  </w:style>
  <w:style w:type="paragraph" w:customStyle="1" w:styleId="Style2">
    <w:name w:val="Style2"/>
    <w:basedOn w:val="TOC3"/>
    <w:qFormat/>
    <w:pPr>
      <w:tabs>
        <w:tab w:val="left" w:pos="1985"/>
        <w:tab w:val="right" w:pos="10195"/>
      </w:tabs>
    </w:pPr>
    <w:rPr>
      <w:rFonts w:eastAsiaTheme="minorEastAsia"/>
      <w:sz w:val="24"/>
      <w:szCs w:val="24"/>
      <w:lang w:val="en-US"/>
    </w:rPr>
  </w:style>
  <w:style w:type="paragraph" w:customStyle="1" w:styleId="Headingseparationline-landscape">
    <w:name w:val="Heading separation line - landscape"/>
    <w:basedOn w:val="Heading1separationline"/>
    <w:qFormat/>
    <w:pPr>
      <w:ind w:right="14317"/>
    </w:pPr>
  </w:style>
  <w:style w:type="paragraph" w:customStyle="1" w:styleId="1">
    <w:name w:val="修订1"/>
    <w:hidden/>
    <w:uiPriority w:val="99"/>
    <w:semiHidden/>
    <w:qFormat/>
    <w:rPr>
      <w:rFonts w:asciiTheme="minorHAnsi" w:eastAsiaTheme="minorHAnsi" w:hAnsiTheme="minorHAnsi" w:cstheme="minorBidi"/>
      <w:sz w:val="18"/>
      <w:szCs w:val="22"/>
      <w:lang w:val="en-GB" w:eastAsia="en-US"/>
    </w:rPr>
  </w:style>
  <w:style w:type="paragraph" w:customStyle="1" w:styleId="Referencetext">
    <w:name w:val="Reference text"/>
    <w:basedOn w:val="Normal"/>
    <w:qFormat/>
    <w:pPr>
      <w:tabs>
        <w:tab w:val="left" w:pos="567"/>
      </w:tabs>
      <w:spacing w:after="120" w:line="240" w:lineRule="auto"/>
      <w:ind w:left="1134" w:hanging="567"/>
    </w:pPr>
    <w:rPr>
      <w:rFonts w:ascii="Calibri" w:eastAsia="Times New Roman" w:hAnsi="Calibri" w:cs="Arial"/>
      <w:sz w:val="22"/>
      <w:szCs w:val="20"/>
      <w:lang w:eastAsia="en-GB"/>
    </w:rPr>
  </w:style>
  <w:style w:type="paragraph" w:customStyle="1" w:styleId="preface6">
    <w:name w:val="preface 6"/>
    <w:basedOn w:val="Heading6"/>
    <w:qFormat/>
    <w:pPr>
      <w:keepNext w:val="0"/>
      <w:suppressLineNumbers/>
      <w:tabs>
        <w:tab w:val="left" w:pos="1151"/>
      </w:tabs>
      <w:spacing w:before="120" w:line="240" w:lineRule="auto"/>
      <w:ind w:left="1151" w:hanging="431"/>
      <w:jc w:val="both"/>
    </w:pPr>
    <w:rPr>
      <w:rFonts w:ascii="Times New Roman" w:eastAsia="Times New Roman" w:hAnsi="Times New Roman" w:cs="Times New Roman"/>
      <w:iCs w:val="0"/>
      <w:color w:val="auto"/>
      <w:sz w:val="24"/>
      <w:szCs w:val="20"/>
      <w:lang w:eastAsia="en-AU"/>
    </w:rPr>
  </w:style>
  <w:style w:type="paragraph" w:customStyle="1" w:styleId="MRN">
    <w:name w:val="MRN"/>
    <w:basedOn w:val="Normal"/>
    <w:link w:val="MRNChar"/>
    <w:qFormat/>
    <w:rPr>
      <w:b/>
      <w:color w:val="00558C"/>
      <w:sz w:val="28"/>
    </w:rPr>
  </w:style>
  <w:style w:type="character" w:customStyle="1" w:styleId="MRNChar">
    <w:name w:val="MRN Char"/>
    <w:basedOn w:val="DefaultParagraphFont"/>
    <w:link w:val="MRN"/>
    <w:qFormat/>
    <w:rPr>
      <w:rFonts w:asciiTheme="minorHAnsi" w:eastAsiaTheme="minorHAnsi" w:hAnsiTheme="minorHAnsi" w:cstheme="minorBidi"/>
      <w:b/>
      <w:color w:val="00558C"/>
      <w:sz w:val="28"/>
      <w:szCs w:val="22"/>
      <w:lang w:eastAsia="en-US"/>
    </w:rPr>
  </w:style>
  <w:style w:type="paragraph" w:customStyle="1" w:styleId="Revokes">
    <w:name w:val="Revokes"/>
    <w:basedOn w:val="Documentdate"/>
    <w:link w:val="RevokesChar"/>
    <w:qFormat/>
    <w:rPr>
      <w:i/>
    </w:rPr>
  </w:style>
  <w:style w:type="character" w:customStyle="1" w:styleId="RevokesChar">
    <w:name w:val="Revokes Char"/>
    <w:basedOn w:val="DefaultParagraphFont"/>
    <w:link w:val="Revokes"/>
    <w:qFormat/>
    <w:rPr>
      <w:rFonts w:asciiTheme="minorHAnsi" w:eastAsiaTheme="minorHAnsi" w:hAnsiTheme="minorHAnsi" w:cstheme="minorBidi"/>
      <w:b/>
      <w:i/>
      <w:color w:val="00558C"/>
      <w:sz w:val="28"/>
      <w:szCs w:val="22"/>
      <w:lang w:eastAsia="en-US"/>
    </w:rPr>
  </w:style>
  <w:style w:type="paragraph" w:customStyle="1" w:styleId="Reference">
    <w:name w:val="Reference"/>
    <w:basedOn w:val="Normal"/>
    <w:qFormat/>
    <w:pPr>
      <w:numPr>
        <w:numId w:val="21"/>
      </w:numPr>
      <w:spacing w:before="120" w:after="60" w:line="240" w:lineRule="auto"/>
      <w:jc w:val="both"/>
    </w:pPr>
    <w:rPr>
      <w:rFonts w:eastAsia="Times New Roman" w:cs="Times New Roman"/>
      <w:sz w:val="22"/>
      <w:szCs w:val="20"/>
    </w:rPr>
  </w:style>
  <w:style w:type="paragraph" w:customStyle="1" w:styleId="Equation">
    <w:name w:val="Equation"/>
    <w:basedOn w:val="BodyText"/>
    <w:next w:val="BodyText"/>
    <w:link w:val="EquationChar"/>
    <w:qFormat/>
    <w:pPr>
      <w:numPr>
        <w:numId w:val="22"/>
      </w:numPr>
      <w:spacing w:before="60"/>
      <w:jc w:val="right"/>
    </w:pPr>
  </w:style>
  <w:style w:type="character" w:customStyle="1" w:styleId="EquationChar">
    <w:name w:val="Equation Char"/>
    <w:basedOn w:val="BodyTextChar"/>
    <w:link w:val="Equation"/>
    <w:qFormat/>
    <w:rPr>
      <w:rFonts w:asciiTheme="minorHAnsi" w:eastAsiaTheme="minorHAnsi" w:hAnsiTheme="minorHAnsi" w:cstheme="minorBidi"/>
      <w:sz w:val="22"/>
      <w:szCs w:val="22"/>
      <w:lang w:eastAsia="en-US"/>
    </w:rPr>
  </w:style>
  <w:style w:type="paragraph" w:customStyle="1" w:styleId="Furtherreading">
    <w:name w:val="Further reading"/>
    <w:basedOn w:val="BodyText"/>
    <w:link w:val="FurtherreadingChar"/>
    <w:qFormat/>
    <w:pPr>
      <w:numPr>
        <w:numId w:val="23"/>
      </w:numPr>
      <w:spacing w:before="60"/>
    </w:pPr>
  </w:style>
  <w:style w:type="character" w:customStyle="1" w:styleId="FurtherreadingChar">
    <w:name w:val="Further reading Char"/>
    <w:basedOn w:val="BodyTextChar"/>
    <w:link w:val="Furtherreading"/>
    <w:qFormat/>
    <w:rPr>
      <w:rFonts w:asciiTheme="minorHAnsi" w:eastAsiaTheme="minorHAnsi" w:hAnsiTheme="minorHAnsi" w:cstheme="minorBidi"/>
      <w:sz w:val="22"/>
      <w:szCs w:val="22"/>
      <w:lang w:eastAsia="en-US"/>
    </w:rPr>
  </w:style>
  <w:style w:type="paragraph" w:customStyle="1" w:styleId="Documentrevisiontabletitle">
    <w:name w:val="Document revision table title"/>
    <w:basedOn w:val="Normal"/>
    <w:qFormat/>
    <w:pPr>
      <w:spacing w:before="60" w:after="60"/>
      <w:ind w:left="113" w:right="113"/>
    </w:pPr>
    <w:rPr>
      <w:b/>
      <w:color w:val="00558C"/>
      <w:sz w:val="20"/>
    </w:rPr>
  </w:style>
  <w:style w:type="paragraph" w:customStyle="1" w:styleId="AnnexFigureCaption">
    <w:name w:val="Annex Figure Caption"/>
    <w:basedOn w:val="BodyText"/>
    <w:link w:val="AnnexFigureCaptionChar"/>
    <w:qFormat/>
    <w:pPr>
      <w:numPr>
        <w:numId w:val="24"/>
      </w:numPr>
      <w:jc w:val="center"/>
    </w:pPr>
    <w:rPr>
      <w:i/>
      <w:color w:val="00558C"/>
    </w:rPr>
  </w:style>
  <w:style w:type="character" w:customStyle="1" w:styleId="AnnexFigureCaptionChar">
    <w:name w:val="Annex Figure Caption Char"/>
    <w:basedOn w:val="BodyTextChar"/>
    <w:link w:val="AnnexFigureCaption"/>
    <w:qFormat/>
    <w:rPr>
      <w:rFonts w:asciiTheme="minorHAnsi" w:eastAsiaTheme="minorHAnsi" w:hAnsiTheme="minorHAnsi" w:cstheme="minorBidi"/>
      <w:i/>
      <w:color w:val="00558C"/>
      <w:sz w:val="22"/>
      <w:szCs w:val="22"/>
      <w:lang w:eastAsia="en-US"/>
    </w:rPr>
  </w:style>
  <w:style w:type="paragraph" w:customStyle="1" w:styleId="AppendixHead1">
    <w:name w:val="Appendix Head 1"/>
    <w:basedOn w:val="Normal"/>
    <w:next w:val="Heading1separationline"/>
    <w:qFormat/>
    <w:pPr>
      <w:numPr>
        <w:ilvl w:val="1"/>
        <w:numId w:val="14"/>
      </w:numPr>
      <w:spacing w:before="120" w:after="120" w:line="240" w:lineRule="auto"/>
    </w:pPr>
    <w:rPr>
      <w:rFonts w:eastAsia="Calibri" w:cs="Arial"/>
      <w:b/>
      <w:caps/>
      <w:color w:val="00558C"/>
      <w:sz w:val="28"/>
      <w:lang w:eastAsia="en-GB"/>
    </w:rPr>
  </w:style>
  <w:style w:type="paragraph" w:customStyle="1" w:styleId="EmphasisParagraph">
    <w:name w:val="Emphasis Paragraph"/>
    <w:basedOn w:val="BodyText"/>
    <w:next w:val="BodyText"/>
    <w:link w:val="EmphasisParagraphChar"/>
    <w:qFormat/>
    <w:pPr>
      <w:ind w:left="425" w:right="709"/>
    </w:pPr>
    <w:rPr>
      <w:i/>
    </w:rPr>
  </w:style>
  <w:style w:type="character" w:customStyle="1" w:styleId="EmphasisParagraphChar">
    <w:name w:val="Emphasis Paragraph Char"/>
    <w:basedOn w:val="BodyTextChar"/>
    <w:link w:val="EmphasisParagraph"/>
    <w:qFormat/>
    <w:rPr>
      <w:rFonts w:asciiTheme="minorHAnsi" w:eastAsiaTheme="minorHAnsi" w:hAnsiTheme="minorHAnsi" w:cstheme="minorBidi"/>
      <w:i/>
      <w:sz w:val="22"/>
      <w:szCs w:val="22"/>
      <w:lang w:eastAsia="en-US"/>
    </w:rPr>
  </w:style>
  <w:style w:type="paragraph" w:customStyle="1" w:styleId="Quotationparagraph">
    <w:name w:val="Quotation paragraph"/>
    <w:basedOn w:val="BodyText"/>
    <w:link w:val="QuotationparagraphChar"/>
    <w:qFormat/>
    <w:pPr>
      <w:suppressAutoHyphens/>
      <w:ind w:left="567" w:right="707"/>
    </w:pPr>
  </w:style>
  <w:style w:type="character" w:customStyle="1" w:styleId="QuotationparagraphChar">
    <w:name w:val="Quotation paragraph Char"/>
    <w:basedOn w:val="BodyTextChar"/>
    <w:link w:val="Quotationparagraph"/>
    <w:qFormat/>
    <w:rPr>
      <w:rFonts w:asciiTheme="minorHAnsi" w:eastAsiaTheme="minorHAnsi" w:hAnsiTheme="minorHAnsi" w:cstheme="minorBidi"/>
      <w:sz w:val="22"/>
      <w:szCs w:val="22"/>
      <w:lang w:eastAsia="en-US"/>
    </w:rPr>
  </w:style>
  <w:style w:type="character" w:customStyle="1" w:styleId="A4">
    <w:name w:val="A4"/>
    <w:uiPriority w:val="99"/>
    <w:qFormat/>
    <w:rPr>
      <w:rFonts w:cs="Barlow Medium"/>
      <w:color w:val="211D1E"/>
      <w:sz w:val="20"/>
      <w:szCs w:val="20"/>
    </w:rPr>
  </w:style>
  <w:style w:type="table" w:customStyle="1" w:styleId="10">
    <w:name w:val="网格型1"/>
    <w:basedOn w:val="TableNormal"/>
    <w:uiPriority w:val="39"/>
    <w:qFormat/>
    <w:rPr>
      <w:rFonts w:asciiTheme="minorHAnsi" w:eastAsiaTheme="minorHAnsi" w:hAnsiTheme="minorHAnsi" w:cstheme="minorBid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11">
    <w:name w:val="网格型11"/>
    <w:basedOn w:val="TableNormal"/>
    <w:uiPriority w:val="39"/>
    <w:qFormat/>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qFormat/>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b">
    <w:name w:val="Heading_b"/>
    <w:basedOn w:val="Normal"/>
    <w:next w:val="Normal"/>
    <w:qFormat/>
    <w:pPr>
      <w:keepNext/>
      <w:keepLines/>
      <w:tabs>
        <w:tab w:val="left" w:pos="1134"/>
        <w:tab w:val="left" w:pos="1871"/>
        <w:tab w:val="left" w:pos="2268"/>
      </w:tabs>
      <w:spacing w:before="160"/>
    </w:pPr>
    <w:rPr>
      <w:rFonts w:ascii="Times New Roman Bold" w:hAnsi="Times New Roman Bold" w:cs="Times New Roman Bold"/>
      <w:b/>
      <w:lang w:eastAsia="zh-CN"/>
    </w:rPr>
  </w:style>
  <w:style w:type="paragraph" w:customStyle="1" w:styleId="enumlev1">
    <w:name w:val="enumlev1"/>
    <w:basedOn w:val="Normal"/>
    <w:qFormat/>
    <w:pPr>
      <w:tabs>
        <w:tab w:val="left" w:pos="1134"/>
        <w:tab w:val="left" w:pos="1871"/>
        <w:tab w:val="left" w:pos="2608"/>
        <w:tab w:val="left" w:pos="3345"/>
      </w:tabs>
      <w:spacing w:before="80"/>
      <w:ind w:left="1134" w:hanging="1134"/>
    </w:pPr>
  </w:style>
  <w:style w:type="paragraph" w:customStyle="1" w:styleId="FigureNo">
    <w:name w:val="Figure_No"/>
    <w:basedOn w:val="Normal"/>
    <w:next w:val="Normal"/>
    <w:qFormat/>
    <w:pPr>
      <w:keepNext/>
      <w:keepLines/>
      <w:tabs>
        <w:tab w:val="left" w:pos="1134"/>
        <w:tab w:val="left" w:pos="1871"/>
        <w:tab w:val="left" w:pos="2268"/>
      </w:tabs>
      <w:spacing w:before="480" w:after="120"/>
      <w:jc w:val="center"/>
    </w:pPr>
    <w:rPr>
      <w:caps/>
      <w:sz w:val="20"/>
    </w:rPr>
  </w:style>
  <w:style w:type="paragraph" w:customStyle="1" w:styleId="Figuretitle">
    <w:name w:val="Figure_title"/>
    <w:basedOn w:val="Normal"/>
    <w:next w:val="Normal"/>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Figure0">
    <w:name w:val="Figure"/>
    <w:basedOn w:val="Normal"/>
    <w:next w:val="Normal"/>
    <w:qFormat/>
    <w:pPr>
      <w:tabs>
        <w:tab w:val="left" w:pos="1134"/>
        <w:tab w:val="left" w:pos="1871"/>
        <w:tab w:val="left" w:pos="2268"/>
      </w:tabs>
      <w:spacing w:after="240"/>
      <w:jc w:val="center"/>
    </w:pPr>
    <w:rPr>
      <w:lang w:eastAsia="zh-CN"/>
    </w:rPr>
  </w:style>
  <w:style w:type="paragraph" w:customStyle="1" w:styleId="AnnexNoTitle">
    <w:name w:val="Annex_NoTitle"/>
    <w:basedOn w:val="Normal"/>
    <w:next w:val="Normalaftertitle"/>
    <w:qFormat/>
    <w:pPr>
      <w:keepNext/>
      <w:keepLines/>
      <w:tabs>
        <w:tab w:val="left" w:pos="794"/>
        <w:tab w:val="left" w:pos="1191"/>
        <w:tab w:val="left" w:pos="1588"/>
        <w:tab w:val="left" w:pos="1985"/>
      </w:tabs>
      <w:spacing w:before="480" w:after="80"/>
      <w:jc w:val="center"/>
      <w:outlineLvl w:val="0"/>
    </w:pPr>
    <w:rPr>
      <w:rFonts w:eastAsiaTheme="minorEastAsia"/>
      <w:b/>
      <w:sz w:val="28"/>
      <w:lang w:val="fr-FR"/>
    </w:rPr>
  </w:style>
  <w:style w:type="paragraph" w:customStyle="1" w:styleId="Normalaftertitle">
    <w:name w:val="Normal_after_title"/>
    <w:basedOn w:val="Normal"/>
    <w:next w:val="Normal"/>
    <w:qFormat/>
    <w:pPr>
      <w:tabs>
        <w:tab w:val="left" w:pos="1134"/>
        <w:tab w:val="left" w:pos="1871"/>
        <w:tab w:val="left" w:pos="2268"/>
      </w:tabs>
      <w:spacing w:before="360"/>
    </w:pPr>
  </w:style>
  <w:style w:type="paragraph" w:customStyle="1" w:styleId="TableNo">
    <w:name w:val="Table_No"/>
    <w:basedOn w:val="Normal"/>
    <w:next w:val="Normal"/>
    <w:qFormat/>
    <w:pPr>
      <w:keepNext/>
      <w:tabs>
        <w:tab w:val="left" w:pos="1134"/>
        <w:tab w:val="left" w:pos="1871"/>
        <w:tab w:val="left" w:pos="2268"/>
      </w:tabs>
      <w:spacing w:before="560" w:after="120"/>
      <w:jc w:val="center"/>
    </w:pPr>
    <w:rPr>
      <w:caps/>
      <w:sz w:val="20"/>
    </w:rPr>
  </w:style>
  <w:style w:type="paragraph" w:customStyle="1" w:styleId="Tabletitle">
    <w:name w:val="Table_title"/>
    <w:basedOn w:val="Normal"/>
    <w:next w:val="Tabletext0"/>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Tablehead">
    <w:name w:val="Table_head"/>
    <w:basedOn w:val="Normal"/>
    <w:qFormat/>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Tablelegend">
    <w:name w:val="Table_legend"/>
    <w:basedOn w:val="Normal"/>
    <w:qFormat/>
    <w:pPr>
      <w:tabs>
        <w:tab w:val="left" w:pos="284"/>
        <w:tab w:val="left" w:pos="567"/>
        <w:tab w:val="left" w:pos="851"/>
        <w:tab w:val="left" w:pos="1134"/>
        <w:tab w:val="left" w:pos="1871"/>
        <w:tab w:val="left" w:pos="2268"/>
      </w:tabs>
      <w:spacing w:before="40" w:after="40"/>
    </w:pPr>
  </w:style>
  <w:style w:type="paragraph" w:customStyle="1" w:styleId="2">
    <w:name w:val="修订2"/>
    <w:hidden/>
    <w:uiPriority w:val="99"/>
    <w:unhideWhenUsed/>
    <w:qFormat/>
    <w:rPr>
      <w:rFonts w:asciiTheme="minorHAnsi" w:eastAsiaTheme="minorHAnsi" w:hAnsiTheme="minorHAnsi" w:cstheme="minorBidi"/>
      <w:sz w:val="18"/>
      <w:szCs w:val="22"/>
      <w:lang w:val="en-GB" w:eastAsia="en-US"/>
    </w:rPr>
  </w:style>
  <w:style w:type="paragraph" w:customStyle="1" w:styleId="3">
    <w:name w:val="修订3"/>
    <w:hidden/>
    <w:uiPriority w:val="99"/>
    <w:unhideWhenUsed/>
    <w:qFormat/>
    <w:rPr>
      <w:rFonts w:asciiTheme="minorHAnsi" w:eastAsiaTheme="minorHAnsi" w:hAnsiTheme="minorHAnsi" w:cstheme="minorBidi"/>
      <w:sz w:val="18"/>
      <w:szCs w:val="22"/>
      <w:lang w:val="en-GB" w:eastAsia="en-US"/>
    </w:rPr>
  </w:style>
  <w:style w:type="paragraph" w:customStyle="1" w:styleId="4">
    <w:name w:val="修订4"/>
    <w:hidden/>
    <w:uiPriority w:val="99"/>
    <w:unhideWhenUsed/>
    <w:qFormat/>
    <w:rPr>
      <w:rFonts w:asciiTheme="minorHAnsi" w:eastAsiaTheme="minorHAnsi" w:hAnsiTheme="minorHAnsi" w:cstheme="minorBidi"/>
      <w:sz w:val="18"/>
      <w:szCs w:val="22"/>
      <w:lang w:val="en-GB" w:eastAsia="en-US"/>
    </w:rPr>
  </w:style>
  <w:style w:type="paragraph" w:customStyle="1" w:styleId="5">
    <w:name w:val="修订5"/>
    <w:hidden/>
    <w:uiPriority w:val="99"/>
    <w:unhideWhenUsed/>
    <w:qFormat/>
    <w:rPr>
      <w:rFonts w:asciiTheme="minorHAnsi" w:eastAsiaTheme="minorHAnsi" w:hAnsiTheme="minorHAnsi" w:cstheme="minorBidi"/>
      <w:sz w:val="18"/>
      <w:szCs w:val="22"/>
      <w:lang w:val="en-GB" w:eastAsia="en-US"/>
    </w:rPr>
  </w:style>
  <w:style w:type="paragraph" w:customStyle="1" w:styleId="6">
    <w:name w:val="修订6"/>
    <w:hidden/>
    <w:uiPriority w:val="99"/>
    <w:semiHidden/>
    <w:qFormat/>
    <w:rPr>
      <w:rFonts w:asciiTheme="minorHAnsi" w:eastAsiaTheme="minorHAnsi" w:hAnsiTheme="minorHAnsi" w:cstheme="minorBidi"/>
      <w:sz w:val="18"/>
      <w:szCs w:val="22"/>
      <w:lang w:val="en-GB" w:eastAsia="en-US"/>
    </w:rPr>
  </w:style>
  <w:style w:type="paragraph" w:customStyle="1" w:styleId="7">
    <w:name w:val="修订7"/>
    <w:hidden/>
    <w:uiPriority w:val="99"/>
    <w:unhideWhenUsed/>
    <w:qFormat/>
    <w:rPr>
      <w:rFonts w:asciiTheme="minorHAnsi" w:eastAsiaTheme="minorHAnsi" w:hAnsiTheme="minorHAnsi" w:cstheme="minorBidi"/>
      <w:sz w:val="18"/>
      <w:szCs w:val="22"/>
      <w:lang w:val="en-GB" w:eastAsia="en-US"/>
    </w:rPr>
  </w:style>
  <w:style w:type="paragraph" w:customStyle="1" w:styleId="8">
    <w:name w:val="修订8"/>
    <w:hidden/>
    <w:uiPriority w:val="99"/>
    <w:unhideWhenUsed/>
    <w:qFormat/>
    <w:rPr>
      <w:rFonts w:asciiTheme="minorHAnsi" w:eastAsiaTheme="minorHAnsi" w:hAnsiTheme="minorHAnsi" w:cstheme="minorBidi"/>
      <w:sz w:val="18"/>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wks\AppData\Roaming\Microsoft\Templates\Gxxxx%20Template%20for%20IALA%20Guidelines%20Ed%202.1%20August%20202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Props1.xml><?xml version="1.0" encoding="utf-8"?>
<ds:datastoreItem xmlns:ds="http://schemas.openxmlformats.org/officeDocument/2006/customXml" ds:itemID="{038B353F-AA28-4EDD-B1A4-C8331EC4215D}">
  <ds:schemaRefs>
    <ds:schemaRef ds:uri="http://schemas.microsoft.com/sharepoint/v3/contenttype/forms"/>
  </ds:schemaRefs>
</ds:datastoreItem>
</file>

<file path=customXml/itemProps2.xml><?xml version="1.0" encoding="utf-8"?>
<ds:datastoreItem xmlns:ds="http://schemas.openxmlformats.org/officeDocument/2006/customXml" ds:itemID="{5C613974-5965-4A99-BB4C-A93C48A16E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B9E0E5-3F4F-4634-AA80-657B6115AB5E}">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docProps/app.xml><?xml version="1.0" encoding="utf-8"?>
<Properties xmlns="http://schemas.openxmlformats.org/officeDocument/2006/extended-properties" xmlns:vt="http://schemas.openxmlformats.org/officeDocument/2006/docPropsVTypes">
  <Template>Gxxxx Template for IALA Guidelines Ed 2.1 August 2021</Template>
  <TotalTime>6</TotalTime>
  <Pages>7</Pages>
  <Words>1817</Words>
  <Characters>8271</Characters>
  <Application>Microsoft Office Word</Application>
  <DocSecurity>0</DocSecurity>
  <Lines>393</Lines>
  <Paragraphs>288</Paragraphs>
  <ScaleCrop>false</ScaleCrop>
  <Company>P R C</Company>
  <LinksUpToDate>false</LinksUpToDate>
  <CharactersWithSpaces>9800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Wim</dc:creator>
  <cp:lastModifiedBy>Alisa Nechyporuk</cp:lastModifiedBy>
  <cp:revision>24</cp:revision>
  <cp:lastPrinted>2024-07-14T12:57:00Z</cp:lastPrinted>
  <dcterms:created xsi:type="dcterms:W3CDTF">2025-07-25T13:57:00Z</dcterms:created>
  <dcterms:modified xsi:type="dcterms:W3CDTF">2026-03-05T13:34:00Z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KSOProductBuildVer">
    <vt:lpwstr>2052-12.1.0.24657</vt:lpwstr>
  </property>
  <property fmtid="{D5CDD505-2E9C-101B-9397-08002B2CF9AE}" pid="4" name="ICV">
    <vt:lpwstr>31E079C8AFDD4E6C867BDBDCF9FF7A52_13</vt:lpwstr>
  </property>
  <property fmtid="{D5CDD505-2E9C-101B-9397-08002B2CF9AE}" pid="5" name="KSOTemplateDocerSaveRecord">
    <vt:lpwstr>eyJoZGlkIjoiYmI2ODA3ODcyNmI0YmE1ZjFkY2MwZjA0N2EwYzI3ZDQiLCJ1c2VySWQiOiIzNzAzMzE0MjcifQ==</vt:lpwstr>
  </property>
  <property fmtid="{D5CDD505-2E9C-101B-9397-08002B2CF9AE}" pid="6" name="GrammarlyDocumentId">
    <vt:lpwstr>03e621cf-d444-47b2-92b5-f97a53ec81ef</vt:lpwstr>
  </property>
  <property fmtid="{D5CDD505-2E9C-101B-9397-08002B2CF9AE}" pid="7" name="MediaServiceImageTags">
    <vt:lpwstr/>
  </property>
</Properties>
</file>